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200699603"/>
    <w:p w14:paraId="19897627" w14:textId="77777777" w:rsidR="00B21882" w:rsidRPr="00FF5041" w:rsidRDefault="00B21882" w:rsidP="00B21882">
      <w:pPr>
        <w:spacing w:after="200" w:line="276" w:lineRule="auto"/>
        <w:jc w:val="center"/>
      </w:pPr>
      <w:r w:rsidRPr="00FF5041">
        <w:fldChar w:fldCharType="begin"/>
      </w:r>
      <w:r w:rsidRPr="00FF5041">
        <w:instrText xml:space="preserve"> INCLUDEPICTURE "C:\\Users\\utm\\AppData\\Local\\Temp\\lu15280rehqn.tmp\\lu15280rehr5_tmp_958551371721545b.png" \* MERGEFORMATINET </w:instrText>
      </w:r>
      <w:r w:rsidRPr="00FF5041">
        <w:fldChar w:fldCharType="separate"/>
      </w:r>
      <w:r w:rsidR="004A3420">
        <w:fldChar w:fldCharType="begin"/>
      </w:r>
      <w:r w:rsidR="004A3420">
        <w:instrText xml:space="preserve"> </w:instrText>
      </w:r>
      <w:r w:rsidR="004A3420">
        <w:instrText>INCLUDEPICTURE  "C:\\Users\\utm\\AppData\\Local\\Temp\\lu15280rehqn.tmp\\lu15280rehr5_tmp_958551371721545b.png" \* MERGEFORMATINET</w:instrText>
      </w:r>
      <w:r w:rsidR="004A3420">
        <w:instrText xml:space="preserve"> </w:instrText>
      </w:r>
      <w:r w:rsidR="004A3420">
        <w:fldChar w:fldCharType="separate"/>
      </w:r>
      <w:r w:rsidR="004A3420">
        <w:pict w14:anchorId="4FCD7EE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57.75pt;height:73.5pt">
            <v:imagedata r:id="rId4" r:href="rId5"/>
          </v:shape>
        </w:pict>
      </w:r>
      <w:r w:rsidR="004A3420">
        <w:fldChar w:fldCharType="end"/>
      </w:r>
      <w:r w:rsidRPr="00FF5041">
        <w:fldChar w:fldCharType="end"/>
      </w:r>
    </w:p>
    <w:p w14:paraId="498665AC" w14:textId="77777777" w:rsidR="00B21882" w:rsidRPr="00FF5041" w:rsidRDefault="00B21882" w:rsidP="00B21882">
      <w:pPr>
        <w:spacing w:after="200" w:line="276" w:lineRule="auto"/>
        <w:jc w:val="center"/>
        <w:rPr>
          <w:rFonts w:ascii="Titillium Web" w:hAnsi="Titillium Web"/>
          <w:sz w:val="22"/>
          <w:szCs w:val="22"/>
        </w:rPr>
      </w:pPr>
      <w:r w:rsidRPr="00FF5041">
        <w:rPr>
          <w:rFonts w:ascii="Titillium Web" w:hAnsi="Titillium Web"/>
          <w:sz w:val="22"/>
          <w:szCs w:val="22"/>
        </w:rPr>
        <w:t>Comune di Annone Veneto</w:t>
      </w:r>
    </w:p>
    <w:bookmarkEnd w:id="0"/>
    <w:p w14:paraId="72F27233" w14:textId="77777777" w:rsidR="00063561" w:rsidRPr="00B21882" w:rsidRDefault="00063561" w:rsidP="00063561">
      <w:pPr>
        <w:rPr>
          <w:rFonts w:ascii="Titillium Web" w:hAnsi="Titillium Web"/>
          <w:sz w:val="22"/>
          <w:szCs w:val="22"/>
        </w:rPr>
      </w:pPr>
      <w:r w:rsidRPr="00B21882">
        <w:rPr>
          <w:rFonts w:ascii="Titillium Web" w:hAnsi="Titillium Web"/>
          <w:b/>
          <w:bCs/>
          <w:sz w:val="22"/>
          <w:szCs w:val="22"/>
        </w:rPr>
        <w:t>Allegato 13 - ELENCO DOCUMENTI SOGGETTI A PUBBLICAZIONE</w:t>
      </w:r>
    </w:p>
    <w:p w14:paraId="5A13FAA6" w14:textId="77777777" w:rsidR="00063561" w:rsidRPr="00B21882" w:rsidRDefault="00063561" w:rsidP="00063561">
      <w:pPr>
        <w:rPr>
          <w:rFonts w:ascii="Titillium Web" w:hAnsi="Titillium Web"/>
          <w:sz w:val="22"/>
          <w:szCs w:val="22"/>
        </w:rPr>
      </w:pPr>
    </w:p>
    <w:p w14:paraId="4B839057" w14:textId="77777777" w:rsidR="00063561" w:rsidRPr="00B21882" w:rsidRDefault="00063561" w:rsidP="004A3420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B21882">
        <w:rPr>
          <w:rFonts w:ascii="Titillium Web" w:hAnsi="Titillium Web"/>
          <w:sz w:val="22"/>
          <w:szCs w:val="22"/>
        </w:rPr>
        <w:t>Sono soggetti alla pubblicazione all’Albo online tutti gli atti e i documenti per i quali le singole norme di legge o di regolamento ne prevedano l’adempimento.</w:t>
      </w:r>
    </w:p>
    <w:p w14:paraId="114531E0" w14:textId="77777777" w:rsidR="00063561" w:rsidRPr="00B21882" w:rsidRDefault="00063561" w:rsidP="004A3420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269710CE" w14:textId="77777777" w:rsidR="00063561" w:rsidRPr="00B21882" w:rsidRDefault="00063561" w:rsidP="004A3420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B21882">
        <w:rPr>
          <w:rFonts w:ascii="Titillium Web" w:hAnsi="Titillium Web"/>
          <w:sz w:val="22"/>
          <w:szCs w:val="22"/>
        </w:rPr>
        <w:t>Sono pubblicati all'albo online anche i documenti dai quali possano nascere diritti, doveri o legittime aspettative di terzi o dalla cui diffusione nei confronti di una indistinta pluralità di soggetti potenzialmente interessati, dipenda la loro efficacia.</w:t>
      </w:r>
    </w:p>
    <w:p w14:paraId="0C6C6BAE" w14:textId="77777777" w:rsidR="00063561" w:rsidRPr="00B21882" w:rsidRDefault="00063561" w:rsidP="004A3420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366BB892" w14:textId="77777777" w:rsidR="00063561" w:rsidRPr="00B21882" w:rsidRDefault="00063561" w:rsidP="004A3420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B21882">
        <w:rPr>
          <w:rFonts w:ascii="Titillium Web" w:hAnsi="Titillium Web"/>
          <w:sz w:val="22"/>
          <w:szCs w:val="22"/>
        </w:rPr>
        <w:t>Sono pubblicati i seguenti atti:</w:t>
      </w:r>
    </w:p>
    <w:p w14:paraId="5D948205" w14:textId="77777777" w:rsidR="00063561" w:rsidRPr="00B21882" w:rsidRDefault="00063561" w:rsidP="004A3420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B21882">
        <w:rPr>
          <w:rFonts w:ascii="Titillium Web" w:hAnsi="Titillium Web"/>
          <w:sz w:val="22"/>
          <w:szCs w:val="22"/>
        </w:rPr>
        <w:t>- Le deliberazioni del Consiglio Comunale e della Giunta Comunale, avendo cura di oscurare i dati personali ex GDPR EU/2016/679, se non espressamente indicato di riservarle.</w:t>
      </w:r>
    </w:p>
    <w:p w14:paraId="254CD083" w14:textId="77777777" w:rsidR="00063561" w:rsidRPr="00B21882" w:rsidRDefault="00063561" w:rsidP="004A3420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B21882">
        <w:rPr>
          <w:rFonts w:ascii="Titillium Web" w:hAnsi="Titillium Web"/>
          <w:sz w:val="22"/>
          <w:szCs w:val="22"/>
        </w:rPr>
        <w:t>- Gli Statuti, i regolamenti, gli atti di organizzazione.</w:t>
      </w:r>
    </w:p>
    <w:p w14:paraId="0EE7EB23" w14:textId="77777777" w:rsidR="00063561" w:rsidRPr="00B21882" w:rsidRDefault="00063561" w:rsidP="004A3420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B21882">
        <w:rPr>
          <w:rFonts w:ascii="Titillium Web" w:hAnsi="Titillium Web"/>
          <w:sz w:val="22"/>
          <w:szCs w:val="22"/>
        </w:rPr>
        <w:t>- Le determinazioni dei Responsabili di Settore, avendo cura di oscurare i dati personali ex GDPR 2016/679, se non espressamente indicato di riservarle.</w:t>
      </w:r>
    </w:p>
    <w:p w14:paraId="7234645F" w14:textId="77777777" w:rsidR="00063561" w:rsidRPr="00B21882" w:rsidRDefault="00063561" w:rsidP="004A3420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B21882">
        <w:rPr>
          <w:rFonts w:ascii="Titillium Web" w:hAnsi="Titillium Web"/>
          <w:sz w:val="22"/>
          <w:szCs w:val="22"/>
        </w:rPr>
        <w:t xml:space="preserve">- I Decreti del Sindaco, se non espressamente indicato di riservarli </w:t>
      </w:r>
    </w:p>
    <w:p w14:paraId="5EFB755D" w14:textId="77777777" w:rsidR="00063561" w:rsidRPr="00B21882" w:rsidRDefault="00063561" w:rsidP="004A3420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6FD25D81" w14:textId="77777777" w:rsidR="00063561" w:rsidRPr="00B21882" w:rsidRDefault="00063561" w:rsidP="004A3420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B21882">
        <w:rPr>
          <w:rFonts w:ascii="Titillium Web" w:hAnsi="Titillium Web"/>
          <w:sz w:val="22"/>
          <w:szCs w:val="22"/>
        </w:rPr>
        <w:t>- Le Convocazioni:</w:t>
      </w:r>
    </w:p>
    <w:p w14:paraId="745A0D34" w14:textId="77777777" w:rsidR="00063561" w:rsidRPr="00B21882" w:rsidRDefault="00063561" w:rsidP="004A3420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B21882">
        <w:rPr>
          <w:rFonts w:ascii="Titillium Web" w:hAnsi="Titillium Web"/>
          <w:sz w:val="22"/>
          <w:szCs w:val="22"/>
        </w:rPr>
        <w:t>esempio: convocazioni del Consiglio Comunale, convocazioni delle Commissioni Consiliari, convocazioni di conferenze di collegi di vigilanza, convocazioni di accordi di programma.</w:t>
      </w:r>
    </w:p>
    <w:p w14:paraId="3DB98119" w14:textId="77777777" w:rsidR="00063561" w:rsidRPr="00B21882" w:rsidRDefault="00063561" w:rsidP="004A3420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109A63A4" w14:textId="77777777" w:rsidR="00063561" w:rsidRPr="00B21882" w:rsidRDefault="00063561" w:rsidP="004A3420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B21882">
        <w:rPr>
          <w:rFonts w:ascii="Titillium Web" w:hAnsi="Titillium Web"/>
          <w:sz w:val="22"/>
          <w:szCs w:val="22"/>
        </w:rPr>
        <w:t>- Gli Avvisi:</w:t>
      </w:r>
    </w:p>
    <w:p w14:paraId="0DED4FF7" w14:textId="77777777" w:rsidR="00063561" w:rsidRPr="00B21882" w:rsidRDefault="00063561" w:rsidP="004A3420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B21882">
        <w:rPr>
          <w:rFonts w:ascii="Titillium Web" w:hAnsi="Titillium Web"/>
          <w:sz w:val="22"/>
          <w:szCs w:val="22"/>
        </w:rPr>
        <w:t xml:space="preserve">esempio: Avvisi di gara, avvisi per candidature, avvisi di deposito, avviso preordinato a gara per lavori/forniture/servizi/incarichi, avviso selezione pubblica, accordi di collaborazione, avvisi pubblici, </w:t>
      </w:r>
      <w:r w:rsidRPr="00B21882">
        <w:rPr>
          <w:rFonts w:ascii="Titillium Web" w:hAnsi="Titillium Web"/>
          <w:sz w:val="22"/>
          <w:szCs w:val="22"/>
        </w:rPr>
        <w:lastRenderedPageBreak/>
        <w:t>avvisi/comunicazioni relative a procedure concorsuali/selettive (elenco candidati ammessi alle prove - diario delle prove - esito delle prove concorsuali - graduatoria provvisoria - graduatoria definitiva); elenco oggetti ritrovati, Avvisi contenenti il sunto della domanda di cambio di cognome/nome (richiesta di pubblicazione da parte dell'interessato).</w:t>
      </w:r>
    </w:p>
    <w:p w14:paraId="642171D9" w14:textId="77777777" w:rsidR="00063561" w:rsidRPr="00B21882" w:rsidRDefault="00063561" w:rsidP="004A3420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721977BB" w14:textId="77777777" w:rsidR="00063561" w:rsidRPr="00B21882" w:rsidRDefault="00063561" w:rsidP="004A3420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B21882">
        <w:rPr>
          <w:rFonts w:ascii="Titillium Web" w:hAnsi="Titillium Web"/>
          <w:sz w:val="22"/>
          <w:szCs w:val="22"/>
        </w:rPr>
        <w:t>- I Bandi:</w:t>
      </w:r>
    </w:p>
    <w:p w14:paraId="56134255" w14:textId="77777777" w:rsidR="00063561" w:rsidRPr="00B21882" w:rsidRDefault="00063561" w:rsidP="004A3420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B21882">
        <w:rPr>
          <w:rFonts w:ascii="Titillium Web" w:hAnsi="Titillium Web"/>
          <w:sz w:val="22"/>
          <w:szCs w:val="22"/>
        </w:rPr>
        <w:t>esempio: bandi per erogazione benefici e/o contributi economici rivolti alla cittadinanza, bando per assegnazione nonché graduatoria provvisoria degli assegnatari di alloggi di edilizia residenziale pubblica, bando per incarichi, bandi di concorso pubblico.</w:t>
      </w:r>
    </w:p>
    <w:p w14:paraId="3BE4AB65" w14:textId="77777777" w:rsidR="00063561" w:rsidRPr="00B21882" w:rsidRDefault="00063561" w:rsidP="004A3420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4E90067A" w14:textId="77777777" w:rsidR="00063561" w:rsidRPr="00B21882" w:rsidRDefault="00063561" w:rsidP="004A3420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B21882">
        <w:rPr>
          <w:rFonts w:ascii="Titillium Web" w:hAnsi="Titillium Web"/>
          <w:sz w:val="22"/>
          <w:szCs w:val="22"/>
        </w:rPr>
        <w:t>- Le Ordinanze:</w:t>
      </w:r>
    </w:p>
    <w:p w14:paraId="0655466C" w14:textId="77777777" w:rsidR="00063561" w:rsidRPr="00B21882" w:rsidRDefault="00063561" w:rsidP="004A3420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B21882">
        <w:rPr>
          <w:rFonts w:ascii="Titillium Web" w:hAnsi="Titillium Web"/>
          <w:sz w:val="22"/>
          <w:szCs w:val="22"/>
        </w:rPr>
        <w:t>sono pubblicate quelle a carattere “pubblico” mentre quelle ricettizie non vengono pubblicate. Ad esempio: ordinanze di regolamentazione e limitazione alla circolazione, ordinanze dissesto statico, ordinanze contingibili ed urgenti relative ad edifici, ordinanze per prevenzione e controllo delle malattie trasmesse da insetti vettori come zanzara tigre e processionaria, ordinanze dirigenziali relative all’occupazione temporanea di aree.</w:t>
      </w:r>
    </w:p>
    <w:p w14:paraId="107B5762" w14:textId="77777777" w:rsidR="00063561" w:rsidRPr="00B21882" w:rsidRDefault="00063561" w:rsidP="004A3420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66D3FC47" w14:textId="77777777" w:rsidR="00063561" w:rsidRPr="00B21882" w:rsidRDefault="00063561" w:rsidP="004A3420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B21882">
        <w:rPr>
          <w:rFonts w:ascii="Titillium Web" w:hAnsi="Titillium Web"/>
          <w:sz w:val="22"/>
          <w:szCs w:val="22"/>
        </w:rPr>
        <w:t>- Ordinanze del Sindaco in materia di orari e di aperture e turnazioni delle attività economiche.</w:t>
      </w:r>
    </w:p>
    <w:p w14:paraId="6D821A0A" w14:textId="77777777" w:rsidR="00063561" w:rsidRPr="00B21882" w:rsidRDefault="00063561" w:rsidP="004A3420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332DE134" w14:textId="77777777" w:rsidR="00063561" w:rsidRPr="00B21882" w:rsidRDefault="00063561" w:rsidP="004A3420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B21882">
        <w:rPr>
          <w:rFonts w:ascii="Titillium Web" w:hAnsi="Titillium Web"/>
          <w:sz w:val="22"/>
          <w:szCs w:val="22"/>
        </w:rPr>
        <w:t>- Ordinanze del Sindaco in materia di chiusura scuole.</w:t>
      </w:r>
    </w:p>
    <w:p w14:paraId="02254D34" w14:textId="77777777" w:rsidR="00063561" w:rsidRPr="00B21882" w:rsidRDefault="00063561" w:rsidP="004A3420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6C0F780A" w14:textId="77777777" w:rsidR="00063561" w:rsidRPr="00B21882" w:rsidRDefault="00063561" w:rsidP="004A3420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B21882">
        <w:rPr>
          <w:rFonts w:ascii="Titillium Web" w:hAnsi="Titillium Web"/>
          <w:sz w:val="22"/>
          <w:szCs w:val="22"/>
        </w:rPr>
        <w:t>- Elenco abusi edilizi con oscuramento dei dati sensibili.</w:t>
      </w:r>
    </w:p>
    <w:p w14:paraId="287D01A9" w14:textId="77777777" w:rsidR="00063561" w:rsidRPr="00B21882" w:rsidRDefault="00063561" w:rsidP="004A3420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5EB57BB2" w14:textId="77777777" w:rsidR="00063561" w:rsidRPr="00B21882" w:rsidRDefault="00063561" w:rsidP="004A3420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B21882">
        <w:rPr>
          <w:rFonts w:ascii="Titillium Web" w:hAnsi="Titillium Web"/>
          <w:sz w:val="22"/>
          <w:szCs w:val="22"/>
        </w:rPr>
        <w:t>- Autorizzazioni per interventi in zone soggette a vincolo idrogeologico.</w:t>
      </w:r>
    </w:p>
    <w:p w14:paraId="73574A8E" w14:textId="77777777" w:rsidR="00063561" w:rsidRPr="00B21882" w:rsidRDefault="00063561" w:rsidP="004A3420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76D42331" w14:textId="77777777" w:rsidR="00063561" w:rsidRPr="00B21882" w:rsidRDefault="00063561" w:rsidP="004A3420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B21882">
        <w:rPr>
          <w:rFonts w:ascii="Titillium Web" w:hAnsi="Titillium Web"/>
          <w:sz w:val="22"/>
          <w:szCs w:val="22"/>
        </w:rPr>
        <w:t>- Permessi di costruire rilasciati.</w:t>
      </w:r>
    </w:p>
    <w:p w14:paraId="43570783" w14:textId="77777777" w:rsidR="00063561" w:rsidRPr="00B21882" w:rsidRDefault="00063561" w:rsidP="004A3420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7CC7F80A" w14:textId="77777777" w:rsidR="00063561" w:rsidRPr="00B21882" w:rsidRDefault="00063561" w:rsidP="004A3420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B21882">
        <w:rPr>
          <w:rFonts w:ascii="Titillium Web" w:hAnsi="Titillium Web"/>
          <w:sz w:val="22"/>
          <w:szCs w:val="22"/>
        </w:rPr>
        <w:t>- Manifesti e materiale elettorale soggetto a pubblicazione.</w:t>
      </w:r>
    </w:p>
    <w:p w14:paraId="1E839477" w14:textId="77777777" w:rsidR="00063561" w:rsidRPr="00B21882" w:rsidRDefault="00063561" w:rsidP="004A3420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38E36462" w14:textId="77777777" w:rsidR="00063561" w:rsidRPr="00B21882" w:rsidRDefault="00063561" w:rsidP="004A3420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B21882">
        <w:rPr>
          <w:rFonts w:ascii="Titillium Web" w:hAnsi="Titillium Web"/>
          <w:sz w:val="22"/>
          <w:szCs w:val="22"/>
        </w:rPr>
        <w:lastRenderedPageBreak/>
        <w:t>- Pubblicazioni di matrimonio.</w:t>
      </w:r>
    </w:p>
    <w:p w14:paraId="068EE490" w14:textId="77777777" w:rsidR="00063561" w:rsidRPr="00B21882" w:rsidRDefault="00063561" w:rsidP="004A3420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32E31D70" w14:textId="77777777" w:rsidR="00063561" w:rsidRPr="00B21882" w:rsidRDefault="00063561" w:rsidP="004A3420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B21882">
        <w:rPr>
          <w:rFonts w:ascii="Titillium Web" w:hAnsi="Titillium Web"/>
          <w:sz w:val="22"/>
          <w:szCs w:val="22"/>
        </w:rPr>
        <w:t>- Atti emanati da altri enti pubblici la cui pubblicazione sia richiesta dagli enti stessi.</w:t>
      </w:r>
    </w:p>
    <w:p w14:paraId="4DED2335" w14:textId="77777777" w:rsidR="00063561" w:rsidRPr="00B21882" w:rsidRDefault="00063561" w:rsidP="004A3420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1D6C9A13" w14:textId="77777777" w:rsidR="00063561" w:rsidRPr="00B21882" w:rsidRDefault="00063561" w:rsidP="004A3420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6A5F7B01" w14:textId="77777777" w:rsidR="00063561" w:rsidRPr="00B21882" w:rsidRDefault="00063561" w:rsidP="004A3420">
      <w:pPr>
        <w:spacing w:after="0" w:line="240" w:lineRule="auto"/>
        <w:rPr>
          <w:rFonts w:ascii="Titillium Web" w:hAnsi="Titillium Web"/>
          <w:b/>
          <w:bCs/>
          <w:sz w:val="22"/>
          <w:szCs w:val="22"/>
          <w:lang w:val="en-US"/>
        </w:rPr>
      </w:pPr>
      <w:r w:rsidRPr="00B21882">
        <w:rPr>
          <w:rFonts w:ascii="Titillium Web" w:hAnsi="Titillium Web"/>
          <w:b/>
          <w:bCs/>
          <w:i/>
          <w:iCs/>
          <w:sz w:val="22"/>
          <w:szCs w:val="22"/>
        </w:rPr>
        <w:t>***********</w:t>
      </w:r>
    </w:p>
    <w:p w14:paraId="6BFEC6BA" w14:textId="77777777" w:rsidR="00063561" w:rsidRPr="00B21882" w:rsidRDefault="00063561" w:rsidP="004A3420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281AC6F5" w14:textId="77777777" w:rsidR="00063561" w:rsidRPr="00B21882" w:rsidRDefault="00063561" w:rsidP="004A3420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B21882">
        <w:rPr>
          <w:rFonts w:ascii="Titillium Web" w:hAnsi="Titillium Web"/>
          <w:b/>
          <w:bCs/>
          <w:sz w:val="22"/>
          <w:szCs w:val="22"/>
        </w:rPr>
        <w:t>Principi e regole generali valide per ogni pubblicazione</w:t>
      </w:r>
    </w:p>
    <w:p w14:paraId="264F625F" w14:textId="77777777" w:rsidR="00063561" w:rsidRPr="00B21882" w:rsidRDefault="00063561" w:rsidP="004A3420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B21882">
        <w:rPr>
          <w:rFonts w:ascii="Titillium Web" w:hAnsi="Titillium Web"/>
          <w:b/>
          <w:bCs/>
          <w:sz w:val="22"/>
          <w:szCs w:val="22"/>
        </w:rPr>
        <w:t xml:space="preserve">Regola generale </w:t>
      </w:r>
      <w:r w:rsidRPr="00B21882">
        <w:rPr>
          <w:rFonts w:ascii="Titillium Web" w:hAnsi="Titillium Web"/>
          <w:sz w:val="22"/>
          <w:szCs w:val="22"/>
        </w:rPr>
        <w:t xml:space="preserve">è consentito diffondere </w:t>
      </w:r>
      <w:r w:rsidRPr="00B21882">
        <w:rPr>
          <w:rFonts w:ascii="Titillium Web" w:hAnsi="Titillium Web"/>
          <w:i/>
          <w:iCs/>
          <w:sz w:val="22"/>
          <w:szCs w:val="22"/>
        </w:rPr>
        <w:t xml:space="preserve">dati personali comuni </w:t>
      </w:r>
      <w:r w:rsidRPr="00B21882">
        <w:rPr>
          <w:rFonts w:ascii="Titillium Web" w:hAnsi="Titillium Web"/>
          <w:sz w:val="22"/>
          <w:szCs w:val="22"/>
        </w:rPr>
        <w:t xml:space="preserve">solo se ammesso da una specifica fonte legislativa o regolamentare. Per quanto riguarda, invece, </w:t>
      </w:r>
      <w:r w:rsidRPr="00B21882">
        <w:rPr>
          <w:rFonts w:ascii="Titillium Web" w:hAnsi="Titillium Web"/>
          <w:i/>
          <w:iCs/>
          <w:sz w:val="22"/>
          <w:szCs w:val="22"/>
        </w:rPr>
        <w:t>dati sensibili e/o giudiziari</w:t>
      </w:r>
      <w:r w:rsidRPr="00B21882">
        <w:rPr>
          <w:rFonts w:ascii="Titillium Web" w:hAnsi="Titillium Web"/>
          <w:sz w:val="22"/>
          <w:szCs w:val="22"/>
        </w:rPr>
        <w:t>, la diffusione è consentita solo se previsto da una norma di legge.</w:t>
      </w:r>
    </w:p>
    <w:p w14:paraId="4E7DA749" w14:textId="77777777" w:rsidR="00063561" w:rsidRPr="00B21882" w:rsidRDefault="00063561" w:rsidP="004A3420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B21882">
        <w:rPr>
          <w:rFonts w:ascii="Titillium Web" w:hAnsi="Titillium Web"/>
          <w:b/>
          <w:bCs/>
          <w:sz w:val="22"/>
          <w:szCs w:val="22"/>
        </w:rPr>
        <w:t xml:space="preserve">Sempre vietato </w:t>
      </w:r>
      <w:r w:rsidRPr="00B21882">
        <w:rPr>
          <w:rFonts w:ascii="Titillium Web" w:hAnsi="Titillium Web"/>
          <w:sz w:val="22"/>
          <w:szCs w:val="22"/>
        </w:rPr>
        <w:t>diffondere dati personali idonei a rilevare: lo stato di salute, la vita sessuale, le informazioni dalle quali si possa desumere una situazione di disagio economico-sociale (esempio: dati identificativi delle persone fisiche destinatarie di sovvenzioni e benefici economici, dai quali sia possibile evincere informazioni sul loro stato di salute o sul loro stato economico-sociale disagiato).</w:t>
      </w:r>
    </w:p>
    <w:p w14:paraId="45876E04" w14:textId="77777777" w:rsidR="00063561" w:rsidRPr="00B21882" w:rsidRDefault="00063561" w:rsidP="004A3420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B21882">
        <w:rPr>
          <w:rFonts w:ascii="Titillium Web" w:hAnsi="Titillium Web"/>
          <w:b/>
          <w:bCs/>
          <w:sz w:val="22"/>
          <w:szCs w:val="22"/>
        </w:rPr>
        <w:t xml:space="preserve">Abbandonare </w:t>
      </w:r>
      <w:r w:rsidRPr="00B21882">
        <w:rPr>
          <w:rFonts w:ascii="Titillium Web" w:hAnsi="Titillium Web"/>
          <w:sz w:val="22"/>
          <w:szCs w:val="22"/>
        </w:rPr>
        <w:t>la prassi di procedere all’anonimizzazione mediante la sostituzione del nome e cognome dell’interessato con le sole iniziali. Secondo il Garante, questa procedura risulta inefficace rispetto all’obiettivo di rendere il soggetto interessato non identificato o identificabile, soprattutto in contesti demografici di piccole dimensioni e/o quando accanto alle iniziali permangono ulteriori informazioni di contesto (cd. indicatori).</w:t>
      </w:r>
    </w:p>
    <w:p w14:paraId="779468C4" w14:textId="77777777" w:rsidR="00063561" w:rsidRPr="00B21882" w:rsidRDefault="00063561" w:rsidP="004A3420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B21882">
        <w:rPr>
          <w:rFonts w:ascii="Titillium Web" w:hAnsi="Titillium Web"/>
          <w:b/>
          <w:bCs/>
          <w:sz w:val="22"/>
          <w:szCs w:val="22"/>
        </w:rPr>
        <w:t xml:space="preserve">Rendere effettivamente anonimi </w:t>
      </w:r>
      <w:r w:rsidRPr="00B21882">
        <w:rPr>
          <w:rFonts w:ascii="Titillium Web" w:hAnsi="Titillium Web"/>
          <w:sz w:val="22"/>
          <w:szCs w:val="22"/>
        </w:rPr>
        <w:t>i dati pubblicati online mediante oscuramento di tutto il nominativo e delle altre informazioni riferite all’interessato che ne possano consentire l’identificazione anche a posteriori.</w:t>
      </w:r>
    </w:p>
    <w:p w14:paraId="138414D4" w14:textId="77777777" w:rsidR="00063561" w:rsidRPr="00B21882" w:rsidRDefault="00063561" w:rsidP="004A3420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4D1FB29A" w14:textId="77777777" w:rsidR="00063561" w:rsidRPr="00B21882" w:rsidRDefault="00063561" w:rsidP="004A3420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B21882">
        <w:rPr>
          <w:rFonts w:ascii="Titillium Web" w:hAnsi="Titillium Web"/>
          <w:i/>
          <w:iCs/>
          <w:sz w:val="22"/>
          <w:szCs w:val="22"/>
        </w:rPr>
        <w:t>Esempio:</w:t>
      </w:r>
    </w:p>
    <w:p w14:paraId="54139084" w14:textId="77777777" w:rsidR="00063561" w:rsidRPr="00B21882" w:rsidRDefault="00063561" w:rsidP="004A3420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B21882">
        <w:rPr>
          <w:rFonts w:ascii="Titillium Web" w:hAnsi="Titillium Web"/>
          <w:sz w:val="22"/>
          <w:szCs w:val="22"/>
        </w:rPr>
        <w:t>Giulio Rossi, nato a Imola il 23.05.1956,</w:t>
      </w:r>
    </w:p>
    <w:p w14:paraId="0D9BF83D" w14:textId="77777777" w:rsidR="00063561" w:rsidRPr="00B21882" w:rsidRDefault="00063561" w:rsidP="004A3420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B21882">
        <w:rPr>
          <w:rFonts w:ascii="Titillium Web" w:hAnsi="Titillium Web"/>
          <w:sz w:val="22"/>
          <w:szCs w:val="22"/>
        </w:rPr>
        <w:t xml:space="preserve">Imola </w:t>
      </w:r>
      <w:proofErr w:type="spellStart"/>
      <w:r w:rsidRPr="00B21882">
        <w:rPr>
          <w:rFonts w:ascii="Titillium Web" w:hAnsi="Titillium Web"/>
          <w:sz w:val="22"/>
          <w:szCs w:val="22"/>
        </w:rPr>
        <w:t>Imola</w:t>
      </w:r>
      <w:proofErr w:type="spellEnd"/>
      <w:r w:rsidRPr="00B21882">
        <w:rPr>
          <w:rFonts w:ascii="Titillium Web" w:hAnsi="Titillium Web"/>
          <w:sz w:val="22"/>
          <w:szCs w:val="22"/>
        </w:rPr>
        <w:t xml:space="preserve"> nato a Imola il 23.05.1956</w:t>
      </w:r>
    </w:p>
    <w:p w14:paraId="338EFF4C" w14:textId="77777777" w:rsidR="00063561" w:rsidRPr="00B21882" w:rsidRDefault="00063561" w:rsidP="004A3420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B21882">
        <w:rPr>
          <w:rFonts w:ascii="Titillium Web" w:hAnsi="Titillium Web"/>
          <w:sz w:val="22"/>
          <w:szCs w:val="22"/>
        </w:rPr>
        <w:t xml:space="preserve">Se si riscontra un obbligo normativo che impone la pubblicazione dell’atto o del documento nel sito web, </w:t>
      </w:r>
      <w:r w:rsidRPr="00B21882">
        <w:rPr>
          <w:rFonts w:ascii="Titillium Web" w:hAnsi="Titillium Web"/>
          <w:b/>
          <w:bCs/>
          <w:sz w:val="22"/>
          <w:szCs w:val="22"/>
        </w:rPr>
        <w:t>è necessario, in ogni caso</w:t>
      </w:r>
      <w:r w:rsidRPr="00B21882">
        <w:rPr>
          <w:rFonts w:ascii="Titillium Web" w:hAnsi="Titillium Web"/>
          <w:sz w:val="22"/>
          <w:szCs w:val="22"/>
        </w:rPr>
        <w:t xml:space="preserve">, </w:t>
      </w:r>
      <w:r w:rsidRPr="00B21882">
        <w:rPr>
          <w:rFonts w:ascii="Titillium Web" w:hAnsi="Titillium Web"/>
          <w:b/>
          <w:bCs/>
          <w:sz w:val="22"/>
          <w:szCs w:val="22"/>
        </w:rPr>
        <w:t>selezionare i dati personali da inserire in tali atti e documenti, verificando, di volta in volta, se ricorrono i presupposti per l’oscuramento di determinate informazioni.</w:t>
      </w:r>
    </w:p>
    <w:p w14:paraId="0FE4D6DC" w14:textId="77777777" w:rsidR="00063561" w:rsidRPr="00B21882" w:rsidRDefault="00063561" w:rsidP="004A3420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B21882">
        <w:rPr>
          <w:rFonts w:ascii="Titillium Web" w:hAnsi="Titillium Web"/>
          <w:sz w:val="22"/>
          <w:szCs w:val="22"/>
        </w:rPr>
        <w:t>Occorre ridurre al minimo l’utilizzazione di dati personali e di dati identificativi ed evitare il relativo trattamento quando le finalità perseguite possono essere realizzate tramite dati anonimi o altre modalità che permettano di identificare l’interessato. Ciò non vuol dire andare contro agli obblighi di pubblicità, ma rispettarli comunque rendendo intelligibili solo i dati personali non pertinenti.</w:t>
      </w:r>
    </w:p>
    <w:p w14:paraId="59137E00" w14:textId="77777777" w:rsidR="00063561" w:rsidRPr="00B21882" w:rsidRDefault="00063561" w:rsidP="004A3420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B21882">
        <w:rPr>
          <w:rFonts w:ascii="Titillium Web" w:hAnsi="Titillium Web"/>
          <w:b/>
          <w:bCs/>
          <w:sz w:val="22"/>
          <w:szCs w:val="22"/>
        </w:rPr>
        <w:t>È, quindi, consentita - lo si ripete - la diffusione dei soli dati personali la cui inclusione in atti e documenti da pubblicare sia realmente necessaria e proporzionata alla finalità di trasparenza perseguita nel caso concreto (principio di pertinenza e non eccedenza)</w:t>
      </w:r>
      <w:r w:rsidRPr="00B21882">
        <w:rPr>
          <w:rFonts w:ascii="Titillium Web" w:hAnsi="Titillium Web"/>
          <w:sz w:val="22"/>
          <w:szCs w:val="22"/>
        </w:rPr>
        <w:t>.</w:t>
      </w:r>
    </w:p>
    <w:p w14:paraId="5BD5BC29" w14:textId="77777777" w:rsidR="00063561" w:rsidRPr="00B21882" w:rsidRDefault="00063561" w:rsidP="004A3420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B21882">
        <w:rPr>
          <w:rFonts w:ascii="Titillium Web" w:hAnsi="Titillium Web"/>
          <w:sz w:val="22"/>
          <w:szCs w:val="22"/>
        </w:rPr>
        <w:t>Infine, ciascun esercente le funzioni del Titolare (Responsabili di Settore) deve attivarsi fornendo disposizioni affinché, trascorsi i periodi di tempo individuati dalla normativa di settore, gli atti e i provvedimenti contenenti dati personali vengano rimossi dalla pagina web dell’Ente oppure vengano privati degli elementi identificativi degli interessati e delle altre informazioni che possano consentirne l'identificazione, fermo restando la possibilità di consultare il documento completo, con i riferimenti in chiaro, tramite la rituale richiesta di accesso agli atti amministrativi presso gli uffici competenti, laddove esistano i presupposti previsti dalla L. 7 agosto 1990, n. 241.</w:t>
      </w:r>
    </w:p>
    <w:p w14:paraId="31A05BE5" w14:textId="77777777" w:rsidR="00063561" w:rsidRPr="00B21882" w:rsidRDefault="00063561" w:rsidP="004A3420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1E456986" w14:textId="77777777" w:rsidR="00063561" w:rsidRPr="00B21882" w:rsidRDefault="00063561" w:rsidP="004A3420">
      <w:pPr>
        <w:spacing w:after="0" w:line="240" w:lineRule="auto"/>
        <w:rPr>
          <w:rFonts w:ascii="Titillium Web" w:hAnsi="Titillium Web"/>
          <w:sz w:val="22"/>
          <w:szCs w:val="22"/>
        </w:rPr>
      </w:pPr>
    </w:p>
    <w:sectPr w:rsidR="00063561" w:rsidRPr="00B2188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561"/>
    <w:rsid w:val="00063561"/>
    <w:rsid w:val="00455F41"/>
    <w:rsid w:val="004A3420"/>
    <w:rsid w:val="00B21882"/>
    <w:rsid w:val="00E63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0189043"/>
  <w15:chartTrackingRefBased/>
  <w15:docId w15:val="{42D481B3-53EF-4AFE-870B-4133BC832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0635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635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6356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635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6356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635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635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635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635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6356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6356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6356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63561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63561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6356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6356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6356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6356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635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063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635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635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635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6356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6356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063561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6356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63561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6356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4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C:\Users\utm\AppData\Local\Temp\lu15280rehqn.tmp\lu15280rehr5_tmp_958551371721545b.png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961</Words>
  <Characters>5480</Characters>
  <Application>Microsoft Office Word</Application>
  <DocSecurity>0</DocSecurity>
  <Lines>45</Lines>
  <Paragraphs>12</Paragraphs>
  <ScaleCrop>false</ScaleCrop>
  <Company/>
  <LinksUpToDate>false</LinksUpToDate>
  <CharactersWithSpaces>6429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Lucchetta</dc:creator>
  <cp:keywords/>
  <dc:description/>
  <cp:lastModifiedBy>Paola Lucchetta</cp:lastModifiedBy>
  <cp:revision>3</cp:revision>
  <dcterms:created xsi:type="dcterms:W3CDTF">2025-06-13T07:42:00Z</dcterms:created>
  <dcterms:modified xsi:type="dcterms:W3CDTF">2025-06-14T09:23:00Z</dcterms:modified>
</cp:coreProperties>
</file>