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200699603"/>
    <w:p w14:paraId="6C350AE6" w14:textId="77777777" w:rsidR="00563805" w:rsidRPr="00FF5041" w:rsidRDefault="00563805" w:rsidP="00563805">
      <w:pPr>
        <w:spacing w:after="200" w:line="276" w:lineRule="auto"/>
        <w:jc w:val="center"/>
      </w:pPr>
      <w:r w:rsidRPr="00FF5041">
        <w:fldChar w:fldCharType="begin"/>
      </w:r>
      <w:r w:rsidRPr="00FF5041">
        <w:instrText xml:space="preserve"> INCLUDEPICTURE "C:\\Users\\utm\\AppData\\Local\\Temp\\lu15280rehqn.tmp\\lu15280rehr5_tmp_958551371721545b.png" \* MERGEFORMATINET </w:instrText>
      </w:r>
      <w:r w:rsidRPr="00FF5041">
        <w:fldChar w:fldCharType="separate"/>
      </w:r>
      <w:r w:rsidRPr="00FF5041">
        <w:pict w14:anchorId="63C088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7.75pt;height:73.5pt">
            <v:imagedata r:id="rId4" r:href="rId5"/>
          </v:shape>
        </w:pict>
      </w:r>
      <w:r w:rsidRPr="00FF5041">
        <w:fldChar w:fldCharType="end"/>
      </w:r>
    </w:p>
    <w:p w14:paraId="49F0109E" w14:textId="77777777" w:rsidR="00563805" w:rsidRPr="00FF5041" w:rsidRDefault="00563805" w:rsidP="00563805">
      <w:pPr>
        <w:spacing w:after="200" w:line="276" w:lineRule="auto"/>
        <w:jc w:val="center"/>
        <w:rPr>
          <w:rFonts w:ascii="Titillium Web" w:hAnsi="Titillium Web"/>
          <w:sz w:val="22"/>
          <w:szCs w:val="22"/>
        </w:rPr>
      </w:pPr>
      <w:r w:rsidRPr="00FF5041">
        <w:rPr>
          <w:rFonts w:ascii="Titillium Web" w:hAnsi="Titillium Web"/>
          <w:sz w:val="22"/>
          <w:szCs w:val="22"/>
        </w:rPr>
        <w:t>Comune di Annone Veneto</w:t>
      </w:r>
    </w:p>
    <w:bookmarkEnd w:id="0"/>
    <w:p w14:paraId="5A019CD9"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Allegato 11 - ISTRUZIONI PER L'INSERIMENTO DEI DATI NEL PROTOCOLLO INFORMATICO E PER LA COMPILAZIONE DELLE BANCHE DATI ANAGRAFICHE</w:t>
      </w:r>
    </w:p>
    <w:p w14:paraId="0AEB275F" w14:textId="77777777" w:rsidR="00503C4C" w:rsidRPr="00403D8E" w:rsidRDefault="00503C4C" w:rsidP="00503C4C">
      <w:pPr>
        <w:rPr>
          <w:rFonts w:ascii="Titillium Web" w:hAnsi="Titillium Web"/>
          <w:sz w:val="22"/>
          <w:szCs w:val="22"/>
        </w:rPr>
      </w:pPr>
    </w:p>
    <w:p w14:paraId="7A52289F"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Il registro di protocollo, per il suo valore giuridico-probatorio, è uno dei documenti fondamentali dell’Ente. Il registro di protocollo fa fede della ricezione e della spedizione dei documenti e della data certa di formazione di un documento.</w:t>
      </w:r>
    </w:p>
    <w:p w14:paraId="3CED560C"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L’oggetto del documento nel protocollo informatico e le intestazioni di anagrafica dei corrispondenti sono elementi essenziali nella definizione dei sistemi informativi e in particolare di quelli documentari. In fase di inserimento dei dati è necessario seguire criteri comuni al fine di evitare difficoltà nel recupero efficiente dei documenti, nonché di conservazione, di collegamenti essenziali a fini giuridici, per garantire la loro effettiva reperibilità e testimoniarne l’esistenza.</w:t>
      </w:r>
    </w:p>
    <w:p w14:paraId="780ACE9E"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I corrispondenti e l’oggetto del documento sono fra gli elementi individuati fra quelli essenziali per lo sviluppo dei processi di interoperabilità e l'allegato 6 “Comunicazione tra AOO di Documenti Amministrativi Protocollati” alle Linee Guida AgID individua un formato standard per assicurare la loro condivisione immediata tra diversi sistemi di protocollo informatico.</w:t>
      </w:r>
    </w:p>
    <w:p w14:paraId="51A56F72"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Non va poi dimenticato che il registro di protocollo, oltre a una funzione giuridica probatoria che attraverso una registrazione coerente garantisce il supporto ai processi decisionali dell’Ente, svolge funzione comunicativa.</w:t>
      </w:r>
    </w:p>
    <w:p w14:paraId="52B13F8E"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La normalizzazione di forma e contenuti nella redazione degli elementi obbligatori è una delle più importanti garanzie per l’identificazione e la reperibilità dei documenti, oltre per la conoscibilità dei contenuti e della loro funzione.</w:t>
      </w:r>
    </w:p>
    <w:p w14:paraId="74E00DF0" w14:textId="77777777" w:rsidR="00503C4C" w:rsidRPr="00403D8E" w:rsidRDefault="00503C4C" w:rsidP="00503C4C">
      <w:pPr>
        <w:rPr>
          <w:rFonts w:ascii="Titillium Web" w:hAnsi="Titillium Web"/>
          <w:sz w:val="22"/>
          <w:szCs w:val="22"/>
        </w:rPr>
      </w:pPr>
    </w:p>
    <w:p w14:paraId="5283AAD8" w14:textId="77777777" w:rsidR="00503C4C" w:rsidRPr="00403D8E" w:rsidRDefault="00503C4C" w:rsidP="00503C4C">
      <w:pPr>
        <w:rPr>
          <w:rFonts w:ascii="Titillium Web" w:hAnsi="Titillium Web"/>
          <w:sz w:val="22"/>
          <w:szCs w:val="22"/>
        </w:rPr>
      </w:pPr>
    </w:p>
    <w:p w14:paraId="203E07A6" w14:textId="77777777" w:rsidR="00503C4C" w:rsidRPr="00403D8E" w:rsidRDefault="00503C4C" w:rsidP="00503C4C">
      <w:pPr>
        <w:rPr>
          <w:rFonts w:ascii="Titillium Web" w:hAnsi="Titillium Web"/>
          <w:sz w:val="22"/>
          <w:szCs w:val="22"/>
        </w:rPr>
      </w:pPr>
      <w:r w:rsidRPr="00403D8E">
        <w:rPr>
          <w:rFonts w:ascii="Titillium Web" w:hAnsi="Titillium Web"/>
          <w:b/>
          <w:bCs/>
          <w:i/>
          <w:iCs/>
          <w:sz w:val="22"/>
          <w:szCs w:val="22"/>
          <w:u w:val="single"/>
        </w:rPr>
        <w:t>Compilazione del campo “oggetto”</w:t>
      </w:r>
    </w:p>
    <w:p w14:paraId="06B8235B" w14:textId="77777777" w:rsidR="00503C4C" w:rsidRPr="00403D8E" w:rsidRDefault="00503C4C" w:rsidP="00503C4C">
      <w:pPr>
        <w:rPr>
          <w:rFonts w:ascii="Titillium Web" w:hAnsi="Titillium Web"/>
          <w:sz w:val="22"/>
          <w:szCs w:val="22"/>
        </w:rPr>
      </w:pPr>
    </w:p>
    <w:p w14:paraId="61310870"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u w:val="single"/>
        </w:rPr>
        <w:t>L’oggetto</w:t>
      </w:r>
      <w:r w:rsidRPr="00403D8E">
        <w:rPr>
          <w:rFonts w:ascii="Titillium Web" w:hAnsi="Titillium Web"/>
          <w:b/>
          <w:bCs/>
          <w:sz w:val="22"/>
          <w:szCs w:val="22"/>
        </w:rPr>
        <w:t xml:space="preserve"> è la sintesi dei contenuti di carattere giuridico, amministrativo e narrativo di un documento</w:t>
      </w:r>
      <w:r w:rsidRPr="00403D8E">
        <w:rPr>
          <w:rFonts w:ascii="Titillium Web" w:hAnsi="Titillium Web"/>
          <w:sz w:val="22"/>
          <w:szCs w:val="22"/>
        </w:rPr>
        <w:t xml:space="preserve">. </w:t>
      </w:r>
      <w:r w:rsidRPr="00403D8E">
        <w:rPr>
          <w:rFonts w:ascii="Titillium Web" w:hAnsi="Titillium Web"/>
          <w:b/>
          <w:bCs/>
          <w:sz w:val="22"/>
          <w:szCs w:val="22"/>
        </w:rPr>
        <w:t>La sua redazione non può essere la semplice copiatura dell’oggetto del documento, ma deve basarsi sull’analisi dell’intero documento per individuarne azioni, istanze, descrizioni rappresentate.</w:t>
      </w:r>
    </w:p>
    <w:p w14:paraId="311D9B3D"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 xml:space="preserve">Chi accede al registro di protocollo deve agevolmente apprendere dalla lettura dell’oggetto il contenuto del documento. Esso deve garantire informazione, efficienza e supporto dei processi decisionali dell’ente. È inoltre il principale campo di ricerca strutturato e quindi deve essere </w:t>
      </w:r>
      <w:r w:rsidRPr="00403D8E">
        <w:rPr>
          <w:rFonts w:ascii="Titillium Web" w:hAnsi="Titillium Web"/>
          <w:sz w:val="22"/>
          <w:szCs w:val="22"/>
        </w:rPr>
        <w:lastRenderedPageBreak/>
        <w:t>registrato con coerenza e attenzione per garantire l’efficacia dell’</w:t>
      </w:r>
      <w:r w:rsidRPr="00403D8E">
        <w:rPr>
          <w:rFonts w:ascii="Titillium Web" w:hAnsi="Titillium Web"/>
          <w:i/>
          <w:iCs/>
          <w:sz w:val="22"/>
          <w:szCs w:val="22"/>
        </w:rPr>
        <w:t>information retrieval</w:t>
      </w:r>
      <w:r w:rsidRPr="00403D8E">
        <w:rPr>
          <w:rFonts w:ascii="Titillium Web" w:hAnsi="Titillium Web"/>
          <w:sz w:val="22"/>
          <w:szCs w:val="22"/>
        </w:rPr>
        <w:t>, ovvero del recupero dell’informazione e del dato.</w:t>
      </w:r>
    </w:p>
    <w:p w14:paraId="57D931E0"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Nella compilazione di questo campo occorre trovare il giusto equilibrio tra la sintesi e l’analisi. Devono essere fornite tutte le informazioni necessarie affinché tutti possano capire agevolmente il testo del documento evidenziandone gli elementi giuridicamente rilevanti.</w:t>
      </w:r>
    </w:p>
    <w:p w14:paraId="425B397D"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Ogni documento deve essere identificato da un oggetto e ad ogni registrazione di protocollo (oggetto + mittente) deve corrispondere un solo documento.</w:t>
      </w:r>
    </w:p>
    <w:p w14:paraId="40B94574"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L’oggetto deve individuare immediatamente il contenuto del documento, contenendo anche eventuali precisazioni di tipo normativo. Nella redazione dell’oggetto si deve tener conto di due funzioni: giuridico-amministrativa e comunicativa.</w:t>
      </w:r>
    </w:p>
    <w:p w14:paraId="1EAA5333"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L’oggetto deve essere formulato in forma sintetica e chiara.</w:t>
      </w:r>
    </w:p>
    <w:p w14:paraId="0746A020"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Al fine di rendere più agevole e spedita la registrazione si forniscono alcune raccomandazioni:</w:t>
      </w:r>
    </w:p>
    <w:p w14:paraId="3B79A1E0"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 xml:space="preserve">Per la redazione di un oggetto esaustivo è sufficiente indicare in modo chiaro </w:t>
      </w:r>
      <w:r w:rsidRPr="00403D8E">
        <w:rPr>
          <w:rFonts w:ascii="Titillium Web" w:hAnsi="Titillium Web"/>
          <w:b/>
          <w:bCs/>
          <w:sz w:val="22"/>
          <w:szCs w:val="22"/>
        </w:rPr>
        <w:t>l’azione</w:t>
      </w:r>
      <w:r w:rsidRPr="00403D8E">
        <w:rPr>
          <w:rFonts w:ascii="Titillium Web" w:hAnsi="Titillium Web"/>
          <w:sz w:val="22"/>
          <w:szCs w:val="22"/>
        </w:rPr>
        <w:t xml:space="preserve"> e gli </w:t>
      </w:r>
      <w:r w:rsidRPr="00403D8E">
        <w:rPr>
          <w:rFonts w:ascii="Titillium Web" w:hAnsi="Titillium Web"/>
          <w:b/>
          <w:bCs/>
          <w:sz w:val="22"/>
          <w:szCs w:val="22"/>
        </w:rPr>
        <w:t>elementi principali del testo</w:t>
      </w:r>
      <w:r w:rsidRPr="00403D8E">
        <w:rPr>
          <w:rFonts w:ascii="Titillium Web" w:hAnsi="Titillium Web"/>
          <w:sz w:val="22"/>
          <w:szCs w:val="22"/>
        </w:rPr>
        <w:t xml:space="preserve"> (es: </w:t>
      </w:r>
      <w:r w:rsidRPr="00403D8E">
        <w:rPr>
          <w:rFonts w:ascii="Titillium Web" w:hAnsi="Titillium Web"/>
          <w:i/>
          <w:iCs/>
          <w:sz w:val="22"/>
          <w:szCs w:val="22"/>
        </w:rPr>
        <w:t>Rilascio attestazione a fini pensionistici sui servizi prestati</w:t>
      </w:r>
      <w:r w:rsidRPr="00403D8E">
        <w:rPr>
          <w:rFonts w:ascii="Titillium Web" w:hAnsi="Titillium Web"/>
          <w:sz w:val="22"/>
          <w:szCs w:val="22"/>
        </w:rPr>
        <w:t xml:space="preserve"> ...; </w:t>
      </w:r>
      <w:r w:rsidRPr="00403D8E">
        <w:rPr>
          <w:rFonts w:ascii="Titillium Web" w:hAnsi="Titillium Web"/>
          <w:i/>
          <w:iCs/>
          <w:sz w:val="22"/>
          <w:szCs w:val="22"/>
        </w:rPr>
        <w:t>Comunicazione risultati dell’indagine di mercato</w:t>
      </w:r>
      <w:r w:rsidRPr="00403D8E">
        <w:rPr>
          <w:rFonts w:ascii="Titillium Web" w:hAnsi="Titillium Web"/>
          <w:sz w:val="22"/>
          <w:szCs w:val="22"/>
        </w:rPr>
        <w:t xml:space="preserve">....; </w:t>
      </w:r>
      <w:r w:rsidRPr="00403D8E">
        <w:rPr>
          <w:rFonts w:ascii="Titillium Web" w:hAnsi="Titillium Web"/>
          <w:i/>
          <w:iCs/>
          <w:sz w:val="22"/>
          <w:szCs w:val="22"/>
        </w:rPr>
        <w:t>Richiesta chiarimenti circa l’art. 4 del contratto di collaborazione del… ; Domanda di pensionamento dal ....; Domanda di partecipazione a...; Comunicazione nominativo... Invio bando di gara per trattativa privata...; Invio verbale relativo al sopralluogo del...; convocazione assemblea lunedì 10 febbraio 2022 ore 10.00 società XXXX).</w:t>
      </w:r>
    </w:p>
    <w:p w14:paraId="4443D555"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 xml:space="preserve">Spesso è necessario procedere alla rielaborazione dell’oggetto riportato sul documento sulla base del suo contenuto (es: </w:t>
      </w:r>
      <w:r w:rsidRPr="00403D8E">
        <w:rPr>
          <w:rFonts w:ascii="Titillium Web" w:hAnsi="Titillium Web"/>
          <w:b/>
          <w:bCs/>
          <w:sz w:val="22"/>
          <w:szCs w:val="22"/>
        </w:rPr>
        <w:t>non</w:t>
      </w:r>
      <w:r w:rsidRPr="00403D8E">
        <w:rPr>
          <w:rFonts w:ascii="Titillium Web" w:hAnsi="Titillium Web"/>
          <w:sz w:val="22"/>
          <w:szCs w:val="22"/>
        </w:rPr>
        <w:t xml:space="preserve"> </w:t>
      </w:r>
      <w:r w:rsidRPr="00403D8E">
        <w:rPr>
          <w:rFonts w:ascii="Titillium Web" w:hAnsi="Titillium Web"/>
          <w:i/>
          <w:iCs/>
          <w:sz w:val="22"/>
          <w:szCs w:val="22"/>
        </w:rPr>
        <w:t>Comunicazione assegnazione</w:t>
      </w:r>
      <w:r w:rsidRPr="00403D8E">
        <w:rPr>
          <w:rFonts w:ascii="Titillium Web" w:hAnsi="Titillium Web"/>
          <w:sz w:val="22"/>
          <w:szCs w:val="22"/>
        </w:rPr>
        <w:t xml:space="preserve">, ma </w:t>
      </w:r>
      <w:r w:rsidRPr="00403D8E">
        <w:rPr>
          <w:rFonts w:ascii="Titillium Web" w:hAnsi="Titillium Web"/>
          <w:i/>
          <w:iCs/>
          <w:sz w:val="22"/>
          <w:szCs w:val="22"/>
        </w:rPr>
        <w:t>Comunicazione assegnazione Bianchi Giovanni al settore Affari generali dal 31/01/2010</w:t>
      </w:r>
      <w:r w:rsidRPr="00403D8E">
        <w:rPr>
          <w:rFonts w:ascii="Titillium Web" w:hAnsi="Titillium Web"/>
          <w:sz w:val="22"/>
          <w:szCs w:val="22"/>
        </w:rPr>
        <w:t xml:space="preserve">; </w:t>
      </w:r>
      <w:r w:rsidRPr="00403D8E">
        <w:rPr>
          <w:rFonts w:ascii="Titillium Web" w:hAnsi="Titillium Web"/>
          <w:b/>
          <w:bCs/>
          <w:sz w:val="22"/>
          <w:szCs w:val="22"/>
        </w:rPr>
        <w:t>non</w:t>
      </w:r>
      <w:r w:rsidRPr="00403D8E">
        <w:rPr>
          <w:rFonts w:ascii="Titillium Web" w:hAnsi="Titillium Web"/>
          <w:sz w:val="22"/>
          <w:szCs w:val="22"/>
        </w:rPr>
        <w:t xml:space="preserve"> </w:t>
      </w:r>
      <w:r w:rsidRPr="00403D8E">
        <w:rPr>
          <w:rFonts w:ascii="Titillium Web" w:hAnsi="Titillium Web"/>
          <w:i/>
          <w:iCs/>
          <w:sz w:val="22"/>
          <w:szCs w:val="22"/>
        </w:rPr>
        <w:t>Programma Alfa – Trasmissione verbale</w:t>
      </w:r>
      <w:r w:rsidRPr="00403D8E">
        <w:rPr>
          <w:rFonts w:ascii="Titillium Web" w:hAnsi="Titillium Web"/>
          <w:sz w:val="22"/>
          <w:szCs w:val="22"/>
        </w:rPr>
        <w:t xml:space="preserve">, ma </w:t>
      </w:r>
      <w:r w:rsidRPr="00403D8E">
        <w:rPr>
          <w:rFonts w:ascii="Titillium Web" w:hAnsi="Titillium Web"/>
          <w:i/>
          <w:iCs/>
          <w:sz w:val="22"/>
          <w:szCs w:val="22"/>
        </w:rPr>
        <w:t>Programma Alfa – trasmissione verbale per estrazione del campione accertamenti realizzazione lavori progetti finanziati ...).</w:t>
      </w:r>
    </w:p>
    <w:p w14:paraId="795BF83D"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Nel caso in cui i documenti contengano dati personali, compresi quelli sensibili e giudiziari, occorre garantire il rispetto dei principi di pertinenza, non eccedenza e indispensabilità, previsti dal D.Lgs. 196/2003 e dal Regolamento Europeo 2016/679, ed evitare di inserire nell’oggetto dati giudiziari o sensibili, tra i quali quelli idonei a rivelare lo stato di salute (</w:t>
      </w:r>
      <w:r w:rsidRPr="00403D8E">
        <w:rPr>
          <w:rFonts w:ascii="Titillium Web" w:hAnsi="Titillium Web"/>
          <w:i/>
          <w:iCs/>
          <w:sz w:val="22"/>
          <w:szCs w:val="22"/>
        </w:rPr>
        <w:t xml:space="preserve">es. Invio diagnosi funzionale L.68/99 Mario Rossi </w:t>
      </w:r>
      <w:r w:rsidRPr="00403D8E">
        <w:rPr>
          <w:rFonts w:ascii="Titillium Web" w:hAnsi="Titillium Web"/>
          <w:b/>
          <w:bCs/>
          <w:sz w:val="22"/>
          <w:szCs w:val="22"/>
        </w:rPr>
        <w:t>e non</w:t>
      </w:r>
      <w:r w:rsidRPr="00403D8E">
        <w:rPr>
          <w:rFonts w:ascii="Titillium Web" w:hAnsi="Titillium Web"/>
          <w:sz w:val="22"/>
          <w:szCs w:val="22"/>
        </w:rPr>
        <w:t xml:space="preserve"> </w:t>
      </w:r>
      <w:r w:rsidRPr="00403D8E">
        <w:rPr>
          <w:rFonts w:ascii="Titillium Web" w:hAnsi="Titillium Web"/>
          <w:i/>
          <w:iCs/>
          <w:sz w:val="22"/>
          <w:szCs w:val="22"/>
        </w:rPr>
        <w:t>Invio diagnosi funzionale L.68/99 Mario Rossi per la seguente patologia…..).</w:t>
      </w:r>
    </w:p>
    <w:p w14:paraId="584F3E9C"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L’oggetto non deve contenere riferimenti normativi muti (REG CEE 1227/2000) o richiami non espliciti: i riferimenti normativi non costituiscono l’oggetto del documento ma ne formano piuttosto il presupposto. Redigere un oggetto limitandosi a citare un riferimento normativo senza ulteriori specificazioni oltre a non essere corretto si rivela inutile ai fini della ricerca e rende impossibile ricavare indicazioni circa l’effettivo contenuto giuridico del documento (es: R</w:t>
      </w:r>
      <w:r w:rsidRPr="00403D8E">
        <w:rPr>
          <w:rFonts w:ascii="Titillium Web" w:hAnsi="Titillium Web"/>
          <w:i/>
          <w:iCs/>
          <w:sz w:val="22"/>
          <w:szCs w:val="22"/>
        </w:rPr>
        <w:t xml:space="preserve">ichiesta trasferimento diritto di reimpianto n del 21/01/2009 - Reg CEE 1493/1999, Reg CEE 1227/2000 </w:t>
      </w:r>
      <w:r w:rsidRPr="00403D8E">
        <w:rPr>
          <w:rFonts w:ascii="Titillium Web" w:hAnsi="Titillium Web"/>
          <w:b/>
          <w:bCs/>
          <w:sz w:val="22"/>
          <w:szCs w:val="22"/>
        </w:rPr>
        <w:t>e non</w:t>
      </w:r>
      <w:r w:rsidRPr="00403D8E">
        <w:rPr>
          <w:rFonts w:ascii="Titillium Web" w:hAnsi="Titillium Web"/>
          <w:sz w:val="22"/>
          <w:szCs w:val="22"/>
        </w:rPr>
        <w:t xml:space="preserve"> </w:t>
      </w:r>
      <w:r w:rsidRPr="00403D8E">
        <w:rPr>
          <w:rFonts w:ascii="Titillium Web" w:hAnsi="Titillium Web"/>
          <w:i/>
          <w:iCs/>
          <w:sz w:val="22"/>
          <w:szCs w:val="22"/>
        </w:rPr>
        <w:t>Reg CEE 1493/1999, Reg CEE 1227/2000</w:t>
      </w:r>
      <w:r w:rsidRPr="00403D8E">
        <w:rPr>
          <w:rFonts w:ascii="Titillium Web" w:hAnsi="Titillium Web"/>
          <w:sz w:val="22"/>
          <w:szCs w:val="22"/>
        </w:rPr>
        <w:t>).</w:t>
      </w:r>
    </w:p>
    <w:p w14:paraId="7321C9A6"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lastRenderedPageBreak/>
        <w:t>I documenti e i moduli contrassegnati da una denominazione sintetica o da un acronimo vanno scritti per esteso. Alla forma estesa segue l’acronimo (</w:t>
      </w:r>
      <w:r w:rsidRPr="00403D8E">
        <w:rPr>
          <w:rFonts w:ascii="Titillium Web" w:hAnsi="Titillium Web"/>
          <w:i/>
          <w:iCs/>
          <w:sz w:val="22"/>
          <w:szCs w:val="22"/>
        </w:rPr>
        <w:t>Documento unico di regolarità contributiva – DURC; Modulo di pagamento unificato – F24</w:t>
      </w:r>
      <w:r w:rsidRPr="00403D8E">
        <w:rPr>
          <w:rFonts w:ascii="Titillium Web" w:hAnsi="Titillium Web"/>
          <w:sz w:val="22"/>
          <w:szCs w:val="22"/>
        </w:rPr>
        <w:t>).</w:t>
      </w:r>
    </w:p>
    <w:p w14:paraId="7241E37B" w14:textId="77777777" w:rsidR="00503C4C" w:rsidRPr="00403D8E" w:rsidRDefault="00503C4C" w:rsidP="00503C4C">
      <w:pPr>
        <w:rPr>
          <w:rFonts w:ascii="Titillium Web" w:hAnsi="Titillium Web"/>
          <w:sz w:val="22"/>
          <w:szCs w:val="22"/>
        </w:rPr>
      </w:pPr>
    </w:p>
    <w:p w14:paraId="64C0E163"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Il punto alla fine della frase è pleonastico, in quanto si tratta di un campo già delimitato.</w:t>
      </w:r>
    </w:p>
    <w:p w14:paraId="56938EF8"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 xml:space="preserve">Le parole devono essere </w:t>
      </w:r>
      <w:r w:rsidRPr="00403D8E">
        <w:rPr>
          <w:rFonts w:ascii="Titillium Web" w:hAnsi="Titillium Web"/>
          <w:b/>
          <w:bCs/>
          <w:sz w:val="22"/>
          <w:szCs w:val="22"/>
        </w:rPr>
        <w:t>scritte complete e per esteso, senza storpiature</w:t>
      </w:r>
      <w:r w:rsidRPr="00403D8E">
        <w:rPr>
          <w:rFonts w:ascii="Titillium Web" w:hAnsi="Titillium Web"/>
          <w:sz w:val="22"/>
          <w:szCs w:val="22"/>
        </w:rPr>
        <w:t xml:space="preserve">, </w:t>
      </w:r>
      <w:r w:rsidRPr="00403D8E">
        <w:rPr>
          <w:rFonts w:ascii="Titillium Web" w:hAnsi="Titillium Web"/>
          <w:b/>
          <w:bCs/>
          <w:sz w:val="22"/>
          <w:szCs w:val="22"/>
        </w:rPr>
        <w:t>segni di punteggiatura, virgolette o abbreviazioni diverse da quelle espressamente indicate in questo documento</w:t>
      </w:r>
      <w:r w:rsidRPr="00403D8E">
        <w:rPr>
          <w:rFonts w:ascii="Titillium Web" w:hAnsi="Titillium Web"/>
          <w:sz w:val="22"/>
          <w:szCs w:val="22"/>
        </w:rPr>
        <w:t xml:space="preserve">. Se necessario l’acronimo si scrive di seguito alla denominazione per esteso della struttura a cui si riferisce separato un trattino preceduto e seguito da spazio (es: </w:t>
      </w:r>
      <w:r w:rsidRPr="00403D8E">
        <w:rPr>
          <w:rFonts w:ascii="Titillium Web" w:hAnsi="Titillium Web"/>
          <w:i/>
          <w:iCs/>
          <w:sz w:val="22"/>
          <w:szCs w:val="22"/>
        </w:rPr>
        <w:t>Istituto nazionale della previdenza sociale – INPS</w:t>
      </w:r>
      <w:r w:rsidRPr="00403D8E">
        <w:rPr>
          <w:rFonts w:ascii="Titillium Web" w:hAnsi="Titillium Web"/>
          <w:sz w:val="22"/>
          <w:szCs w:val="22"/>
        </w:rPr>
        <w:t>).</w:t>
      </w:r>
    </w:p>
    <w:p w14:paraId="75E0B188"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 xml:space="preserve">I numerali si indicano utilizzando le cifre arabe o romane senza il carattere a suffisso in apice (° oppure ^) (es: </w:t>
      </w:r>
      <w:r w:rsidRPr="00403D8E">
        <w:rPr>
          <w:rFonts w:ascii="Titillium Web" w:hAnsi="Titillium Web"/>
          <w:i/>
          <w:iCs/>
          <w:sz w:val="22"/>
          <w:szCs w:val="22"/>
        </w:rPr>
        <w:t>Celebrazioni per il 5 o V anniversario</w:t>
      </w:r>
      <w:r w:rsidRPr="00403D8E">
        <w:rPr>
          <w:rFonts w:ascii="Titillium Web" w:hAnsi="Titillium Web"/>
          <w:sz w:val="22"/>
          <w:szCs w:val="22"/>
        </w:rPr>
        <w:t>) per evitare che il software di protocollo decodifichi erroneamente i caratteri speciali.</w:t>
      </w:r>
    </w:p>
    <w:p w14:paraId="4807AEC2"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 xml:space="preserve">La parola </w:t>
      </w:r>
      <w:r w:rsidRPr="00403D8E">
        <w:rPr>
          <w:rFonts w:ascii="Titillium Web" w:hAnsi="Titillium Web"/>
          <w:i/>
          <w:iCs/>
          <w:sz w:val="22"/>
          <w:szCs w:val="22"/>
        </w:rPr>
        <w:t>euro</w:t>
      </w:r>
      <w:r w:rsidRPr="00403D8E">
        <w:rPr>
          <w:rFonts w:ascii="Titillium Web" w:hAnsi="Titillium Web"/>
          <w:sz w:val="22"/>
          <w:szCs w:val="22"/>
        </w:rPr>
        <w:t xml:space="preserve"> è indeclinabile e va scritta per esteso.</w:t>
      </w:r>
    </w:p>
    <w:p w14:paraId="69C82828"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Le indicazioni numeriche di quantità devono essere espresse da un numero cardinale arabo preceduto da “n”, così che l’informazione sia chiara (es:</w:t>
      </w:r>
      <w:r w:rsidRPr="00403D8E">
        <w:rPr>
          <w:rFonts w:ascii="Titillium Web" w:hAnsi="Titillium Web"/>
          <w:i/>
          <w:iCs/>
          <w:sz w:val="22"/>
          <w:szCs w:val="22"/>
        </w:rPr>
        <w:t xml:space="preserve"> Bando per l’assegnazione di n 10 borse di studio; n 2 contratti</w:t>
      </w:r>
      <w:r w:rsidRPr="00403D8E">
        <w:rPr>
          <w:rFonts w:ascii="Titillium Web" w:hAnsi="Titillium Web"/>
          <w:sz w:val="22"/>
          <w:szCs w:val="22"/>
        </w:rPr>
        <w:t>).</w:t>
      </w:r>
    </w:p>
    <w:p w14:paraId="3EB98503"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 xml:space="preserve">Le date si indicano nella forma gg/mm/aaaa (es: </w:t>
      </w:r>
      <w:r w:rsidRPr="00403D8E">
        <w:rPr>
          <w:rFonts w:ascii="Titillium Web" w:hAnsi="Titillium Web"/>
          <w:i/>
          <w:iCs/>
          <w:sz w:val="22"/>
          <w:szCs w:val="22"/>
        </w:rPr>
        <w:t>16/03/2022</w:t>
      </w:r>
      <w:r w:rsidRPr="00403D8E">
        <w:rPr>
          <w:rFonts w:ascii="Titillium Web" w:hAnsi="Titillium Web"/>
          <w:sz w:val="22"/>
          <w:szCs w:val="22"/>
        </w:rPr>
        <w:t xml:space="preserve">), per l’indicazione di intervalli si utilizza il trattino preceduto e seguito da uno spazio o lo spazio tra le due cifre (es: </w:t>
      </w:r>
      <w:r w:rsidRPr="00403D8E">
        <w:rPr>
          <w:rFonts w:ascii="Titillium Web" w:hAnsi="Titillium Web"/>
          <w:i/>
          <w:iCs/>
          <w:sz w:val="22"/>
          <w:szCs w:val="22"/>
        </w:rPr>
        <w:t xml:space="preserve">2021 – 2022 o 2021 2022 </w:t>
      </w:r>
      <w:r w:rsidRPr="00403D8E">
        <w:rPr>
          <w:rFonts w:ascii="Titillium Web" w:hAnsi="Titillium Web"/>
          <w:sz w:val="22"/>
          <w:szCs w:val="22"/>
        </w:rPr>
        <w:t>).</w:t>
      </w:r>
    </w:p>
    <w:p w14:paraId="6E308EF1"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E' fortemente consigliato l'uso di oggetti standard.</w:t>
      </w:r>
    </w:p>
    <w:p w14:paraId="57E89EFF" w14:textId="77777777" w:rsidR="00503C4C" w:rsidRPr="00403D8E" w:rsidRDefault="00503C4C" w:rsidP="00503C4C">
      <w:pPr>
        <w:rPr>
          <w:rFonts w:ascii="Titillium Web" w:hAnsi="Titillium Web"/>
          <w:sz w:val="22"/>
          <w:szCs w:val="22"/>
        </w:rPr>
      </w:pPr>
    </w:p>
    <w:p w14:paraId="122888C3"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Alcuni esempi:</w:t>
      </w:r>
    </w:p>
    <w:p w14:paraId="38135870"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Convocazione conferenza dei servizi relativa a .... per il gg/mm/aaaa</w:t>
      </w:r>
    </w:p>
    <w:p w14:paraId="593491FC"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Richiesta di preventivo / offerta per....</w:t>
      </w:r>
    </w:p>
    <w:p w14:paraId="50D14D75"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Richiesta integrazione della documentazione relativa a ....</w:t>
      </w:r>
    </w:p>
    <w:p w14:paraId="08956457"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Rilascio autorizzazione relativa a …</w:t>
      </w:r>
    </w:p>
    <w:p w14:paraId="6637011F"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Rilascio nulla osta per ...</w:t>
      </w:r>
    </w:p>
    <w:p w14:paraId="6732DFD8"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Richiesta rinnovo autorizzazione per ...</w:t>
      </w:r>
    </w:p>
    <w:p w14:paraId="25C25CA7"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Verbale della riunione del gg/mm/aaaa relativa a ....</w:t>
      </w:r>
    </w:p>
    <w:p w14:paraId="2C693DD3"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Rilascio attestato per...</w:t>
      </w:r>
    </w:p>
    <w:p w14:paraId="5C75823F"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Certificazione attestante...</w:t>
      </w:r>
    </w:p>
    <w:p w14:paraId="23128660"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Trasmissione delibera Giunta Provinciale n 34 del 26/02/2023</w:t>
      </w:r>
    </w:p>
    <w:p w14:paraId="18B9E266"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Trasmissione provvedimento n 24 del 23/01/2023 Dirigente del Servizio ….</w:t>
      </w:r>
    </w:p>
    <w:p w14:paraId="2E2F2E82"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Rettifica...</w:t>
      </w:r>
    </w:p>
    <w:p w14:paraId="631807B1"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Rilascio parere favorevole/ostativo alla richiesta relativa a....</w:t>
      </w:r>
    </w:p>
    <w:p w14:paraId="2BEC02AB"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Programma di inserimento lavorativo...</w:t>
      </w:r>
    </w:p>
    <w:p w14:paraId="182F2D25"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Richiesta integrazione documentazione relativa a ...</w:t>
      </w:r>
    </w:p>
    <w:p w14:paraId="64E3A1CE"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Rilascio di attestato</w:t>
      </w:r>
    </w:p>
    <w:p w14:paraId="0BC352FA"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Segnalazione danni alla produzione di ...</w:t>
      </w:r>
    </w:p>
    <w:p w14:paraId="5F52ECF4"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Richiesta di visita sanitaria per ...</w:t>
      </w:r>
    </w:p>
    <w:p w14:paraId="0B5925F5"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Richiesta di documentazione e chiarimenti relativi alla domanda di autorizzazione per … presentata in data....</w:t>
      </w:r>
    </w:p>
    <w:p w14:paraId="7611EF42"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Richiesta istruttoria tecnica relativa a ...</w:t>
      </w:r>
    </w:p>
    <w:p w14:paraId="2914AD37"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Richiesta di parere ...</w:t>
      </w:r>
    </w:p>
    <w:p w14:paraId="1945E2BC"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Trasmissione ordinanza n / ....</w:t>
      </w:r>
    </w:p>
    <w:p w14:paraId="29181247"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 xml:space="preserve">Comunicazione di avvio del procedimento relativo a .... </w:t>
      </w:r>
    </w:p>
    <w:p w14:paraId="1B81E851" w14:textId="77777777" w:rsidR="00503C4C" w:rsidRPr="00403D8E" w:rsidRDefault="00503C4C" w:rsidP="00503C4C">
      <w:pPr>
        <w:rPr>
          <w:rFonts w:ascii="Titillium Web" w:hAnsi="Titillium Web"/>
          <w:sz w:val="22"/>
          <w:szCs w:val="22"/>
        </w:rPr>
      </w:pPr>
      <w:r w:rsidRPr="00403D8E">
        <w:rPr>
          <w:rFonts w:ascii="Titillium Web" w:hAnsi="Titillium Web"/>
          <w:i/>
          <w:iCs/>
          <w:sz w:val="22"/>
          <w:szCs w:val="22"/>
        </w:rPr>
        <w:t>Invio rendiconto relativo iniziativa</w:t>
      </w:r>
    </w:p>
    <w:p w14:paraId="61BA1994" w14:textId="77777777" w:rsidR="00503C4C" w:rsidRPr="00403D8E" w:rsidRDefault="00503C4C" w:rsidP="00503C4C">
      <w:pPr>
        <w:rPr>
          <w:rFonts w:ascii="Titillium Web" w:hAnsi="Titillium Web"/>
          <w:sz w:val="22"/>
          <w:szCs w:val="22"/>
        </w:rPr>
      </w:pPr>
    </w:p>
    <w:p w14:paraId="3B743EC6" w14:textId="77777777" w:rsidR="00503C4C" w:rsidRPr="00403D8E" w:rsidRDefault="00503C4C" w:rsidP="00503C4C">
      <w:pPr>
        <w:rPr>
          <w:rFonts w:ascii="Titillium Web" w:hAnsi="Titillium Web"/>
          <w:sz w:val="22"/>
          <w:szCs w:val="22"/>
        </w:rPr>
      </w:pPr>
      <w:r w:rsidRPr="00403D8E">
        <w:rPr>
          <w:rFonts w:ascii="Titillium Web" w:hAnsi="Titillium Web"/>
          <w:b/>
          <w:bCs/>
          <w:i/>
          <w:iCs/>
          <w:sz w:val="22"/>
          <w:szCs w:val="22"/>
        </w:rPr>
        <w:t>Oggetto e fascicolo</w:t>
      </w:r>
    </w:p>
    <w:p w14:paraId="7598FD01" w14:textId="77777777" w:rsidR="00503C4C" w:rsidRPr="00403D8E" w:rsidRDefault="00503C4C" w:rsidP="00503C4C">
      <w:pPr>
        <w:rPr>
          <w:rFonts w:ascii="Titillium Web" w:hAnsi="Titillium Web"/>
          <w:sz w:val="22"/>
          <w:szCs w:val="22"/>
        </w:rPr>
      </w:pPr>
    </w:p>
    <w:p w14:paraId="092F0FB8"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Il testo dell’oggetto serve all’identificazione certa di un documento, riflettendo i rapporti con il fascicolo e con il procedimento cui afferisce. I due elementi (oggetto e fascicolo) non devono essere confusi, né sovrapposti fra loro: il fascicolo collega più documenti relativi a uno stesso affare e la sua descrizione non sostituisce l’oggetto della registrazione. Il fascicolo ha una funzione gestionale, mentre il documento ha un contenuto che lo contraddistingue e il testo dell’oggetto serve all’identificazione certa di un documento.</w:t>
      </w:r>
    </w:p>
    <w:p w14:paraId="6D7ABF29" w14:textId="77777777" w:rsidR="00503C4C" w:rsidRPr="00403D8E" w:rsidRDefault="00503C4C" w:rsidP="00503C4C">
      <w:pPr>
        <w:rPr>
          <w:rFonts w:ascii="Titillium Web" w:hAnsi="Titillium Web"/>
          <w:sz w:val="22"/>
          <w:szCs w:val="22"/>
        </w:rPr>
      </w:pPr>
    </w:p>
    <w:p w14:paraId="19048660" w14:textId="77777777" w:rsidR="00503C4C" w:rsidRPr="00403D8E" w:rsidRDefault="00503C4C" w:rsidP="00503C4C">
      <w:pPr>
        <w:rPr>
          <w:rFonts w:ascii="Titillium Web" w:hAnsi="Titillium Web"/>
          <w:sz w:val="22"/>
          <w:szCs w:val="22"/>
        </w:rPr>
      </w:pPr>
    </w:p>
    <w:p w14:paraId="5DA3DBBA" w14:textId="77777777" w:rsidR="00503C4C" w:rsidRPr="00403D8E" w:rsidRDefault="00503C4C" w:rsidP="00503C4C">
      <w:pPr>
        <w:rPr>
          <w:rFonts w:ascii="Titillium Web" w:hAnsi="Titillium Web"/>
          <w:sz w:val="22"/>
          <w:szCs w:val="22"/>
        </w:rPr>
      </w:pPr>
      <w:r w:rsidRPr="00403D8E">
        <w:rPr>
          <w:rFonts w:ascii="Titillium Web" w:hAnsi="Titillium Web"/>
          <w:b/>
          <w:bCs/>
          <w:i/>
          <w:iCs/>
          <w:sz w:val="22"/>
          <w:szCs w:val="22"/>
        </w:rPr>
        <w:t>Abbreviazioni</w:t>
      </w:r>
    </w:p>
    <w:p w14:paraId="72315A04" w14:textId="77777777" w:rsidR="00503C4C" w:rsidRPr="00403D8E" w:rsidRDefault="00503C4C" w:rsidP="00503C4C">
      <w:pPr>
        <w:rPr>
          <w:rFonts w:ascii="Titillium Web" w:hAnsi="Titillium Web"/>
          <w:sz w:val="22"/>
          <w:szCs w:val="22"/>
        </w:rPr>
      </w:pPr>
    </w:p>
    <w:p w14:paraId="6A57376C"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Occorre evitare il più possibile l’uso di abbreviazioni, sigle e acronimi che potrebbero pregiudicare, oltre la comprensione, anche la ricerca. Non devono essere abbreviati i nomi degli enti ma, qualora una abbreviazione facesse parte del nome ufficiale dell'istituto - e non sia possibile scioglierla - deve essere riportata così come compare nell'intestazione originale. I nomi degli enti più comuni devono essere scritti nella forma sciolta affiancata dalla forma abbreviata senza punti; le due forme sono separate da un trattino preceduto e seguito da uno spazio.</w:t>
      </w:r>
    </w:p>
    <w:p w14:paraId="2EF620B3" w14:textId="77777777" w:rsidR="00503C4C" w:rsidRPr="00403D8E" w:rsidRDefault="00503C4C" w:rsidP="00503C4C">
      <w:pPr>
        <w:rPr>
          <w:rFonts w:ascii="Titillium Web" w:hAnsi="Titillium Web"/>
          <w:sz w:val="22"/>
          <w:szCs w:val="22"/>
        </w:rPr>
      </w:pPr>
    </w:p>
    <w:p w14:paraId="33512D2C"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AVV. ROSSI MARIO - STUDIO LEGALE ASSOCIATO</w:t>
      </w:r>
    </w:p>
    <w:p w14:paraId="4C3EC906"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SI</w:t>
      </w:r>
      <w:r w:rsidRPr="00403D8E">
        <w:rPr>
          <w:rFonts w:ascii="Titillium Web" w:hAnsi="Titillium Web"/>
          <w:sz w:val="22"/>
          <w:szCs w:val="22"/>
        </w:rPr>
        <w:t xml:space="preserve"> ROSSI MARIO AVVOCATO – STUDIO LEGALE ASSOCIATO</w:t>
      </w:r>
    </w:p>
    <w:p w14:paraId="1FB2D56E"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C.C.I.A.</w:t>
      </w:r>
    </w:p>
    <w:p w14:paraId="2AB2A62B"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CAMERA DI COMMERCIO INDUSTRIA E ARTIGIANATO – CCIA</w:t>
      </w:r>
    </w:p>
    <w:p w14:paraId="229D84DB"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MIN. LAV. E PREV. SOCIALE;</w:t>
      </w:r>
    </w:p>
    <w:p w14:paraId="0FFE991B"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MINISTERO DEL LAVORO E DELLA PREVIDENZA SOCIALE</w:t>
      </w:r>
    </w:p>
    <w:p w14:paraId="35446897"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MINISTERO DEL LAVORO E DELLA PREVIDENZA SOCIALE - MLPS</w:t>
      </w:r>
    </w:p>
    <w:p w14:paraId="1C6D4326" w14:textId="77777777" w:rsidR="00503C4C" w:rsidRPr="00403D8E" w:rsidRDefault="00503C4C" w:rsidP="00503C4C">
      <w:pPr>
        <w:rPr>
          <w:rFonts w:ascii="Titillium Web" w:hAnsi="Titillium Web"/>
          <w:sz w:val="22"/>
          <w:szCs w:val="22"/>
        </w:rPr>
      </w:pPr>
    </w:p>
    <w:p w14:paraId="26B5B790" w14:textId="77777777" w:rsidR="00503C4C" w:rsidRPr="00403D8E" w:rsidRDefault="00503C4C" w:rsidP="00503C4C">
      <w:pPr>
        <w:rPr>
          <w:rFonts w:ascii="Titillium Web" w:hAnsi="Titillium Web"/>
          <w:sz w:val="22"/>
          <w:szCs w:val="22"/>
        </w:rPr>
      </w:pPr>
    </w:p>
    <w:p w14:paraId="244FCFFA"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Esempi di abbreviazioni che possono essere utilizzate:</w:t>
      </w:r>
    </w:p>
    <w:p w14:paraId="24EA7A4C" w14:textId="77777777" w:rsidR="00503C4C" w:rsidRPr="00403D8E" w:rsidRDefault="00503C4C" w:rsidP="00503C4C">
      <w:pPr>
        <w:rPr>
          <w:rFonts w:ascii="Titillium Web" w:hAnsi="Titillium Web"/>
          <w:sz w:val="22"/>
          <w:szCs w:val="22"/>
        </w:rPr>
      </w:pPr>
    </w:p>
    <w:p w14:paraId="52626C3B"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CIRC per circolare</w:t>
      </w:r>
    </w:p>
    <w:p w14:paraId="24DEFD3C"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DL per decreto legge</w:t>
      </w:r>
    </w:p>
    <w:p w14:paraId="19A5AC8F"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DLGS per decreto legislativo</w:t>
      </w:r>
    </w:p>
    <w:p w14:paraId="03D9A18D"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DPCM per decreto presidente consiglio dei ministri</w:t>
      </w:r>
    </w:p>
    <w:p w14:paraId="4F174928"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DPR per decreto presidente repubblica (445/2000)</w:t>
      </w:r>
    </w:p>
    <w:p w14:paraId="4B5E6071"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LR per legge regionale (LR 18/2000)</w:t>
      </w:r>
    </w:p>
    <w:p w14:paraId="7EA6B1E1"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Gg/mm/aaaa per la data (30/03/2023)</w:t>
      </w:r>
    </w:p>
    <w:p w14:paraId="5C02F4FB"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SP per strada provinciale</w:t>
      </w:r>
    </w:p>
    <w:p w14:paraId="787D1EEA"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SS per strada statale</w:t>
      </w:r>
    </w:p>
    <w:p w14:paraId="73180020"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UPI per Unione delle province italiane</w:t>
      </w:r>
    </w:p>
    <w:p w14:paraId="7AC9B50C"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KM per chilometro</w:t>
      </w:r>
    </w:p>
    <w:p w14:paraId="27337D14"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N per numero</w:t>
      </w:r>
    </w:p>
    <w:p w14:paraId="7D523B82" w14:textId="77777777" w:rsidR="00503C4C" w:rsidRPr="00403D8E" w:rsidRDefault="00503C4C" w:rsidP="00503C4C">
      <w:pPr>
        <w:rPr>
          <w:rFonts w:ascii="Titillium Web" w:hAnsi="Titillium Web"/>
          <w:sz w:val="22"/>
          <w:szCs w:val="22"/>
        </w:rPr>
      </w:pPr>
    </w:p>
    <w:p w14:paraId="56C1E2DC" w14:textId="77777777" w:rsidR="00503C4C" w:rsidRPr="00403D8E" w:rsidRDefault="00503C4C" w:rsidP="00503C4C">
      <w:pPr>
        <w:rPr>
          <w:rFonts w:ascii="Titillium Web" w:hAnsi="Titillium Web"/>
          <w:sz w:val="22"/>
          <w:szCs w:val="22"/>
        </w:rPr>
      </w:pPr>
    </w:p>
    <w:p w14:paraId="6728FCD8" w14:textId="77777777" w:rsidR="00503C4C" w:rsidRPr="00403D8E" w:rsidRDefault="00503C4C" w:rsidP="00503C4C">
      <w:pPr>
        <w:rPr>
          <w:rFonts w:ascii="Titillium Web" w:hAnsi="Titillium Web"/>
          <w:sz w:val="22"/>
          <w:szCs w:val="22"/>
        </w:rPr>
      </w:pPr>
    </w:p>
    <w:p w14:paraId="2A78CC07" w14:textId="77777777" w:rsidR="00503C4C" w:rsidRPr="00403D8E" w:rsidRDefault="00503C4C" w:rsidP="00503C4C">
      <w:pPr>
        <w:rPr>
          <w:rFonts w:ascii="Titillium Web" w:hAnsi="Titillium Web"/>
          <w:sz w:val="22"/>
          <w:szCs w:val="22"/>
        </w:rPr>
      </w:pPr>
    </w:p>
    <w:p w14:paraId="7737EF0C" w14:textId="77777777" w:rsidR="00503C4C" w:rsidRPr="00403D8E" w:rsidRDefault="00503C4C" w:rsidP="00503C4C">
      <w:pPr>
        <w:rPr>
          <w:rFonts w:ascii="Titillium Web" w:hAnsi="Titillium Web"/>
          <w:sz w:val="22"/>
          <w:szCs w:val="22"/>
        </w:rPr>
      </w:pPr>
      <w:r w:rsidRPr="00403D8E">
        <w:rPr>
          <w:rFonts w:ascii="Titillium Web" w:hAnsi="Titillium Web"/>
          <w:b/>
          <w:bCs/>
          <w:i/>
          <w:iCs/>
          <w:sz w:val="22"/>
          <w:szCs w:val="22"/>
        </w:rPr>
        <w:t>Segni di interpunzione</w:t>
      </w:r>
    </w:p>
    <w:p w14:paraId="37DA9CA4" w14:textId="77777777" w:rsidR="00503C4C" w:rsidRPr="00403D8E" w:rsidRDefault="00503C4C" w:rsidP="00503C4C">
      <w:pPr>
        <w:rPr>
          <w:rFonts w:ascii="Titillium Web" w:hAnsi="Titillium Web"/>
          <w:sz w:val="22"/>
          <w:szCs w:val="22"/>
        </w:rPr>
      </w:pPr>
    </w:p>
    <w:p w14:paraId="58B80E07"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Al fine di consentire una facile interrogazione delle informazioni inserite nelle banche dati si deve limitare l'uso dei segni di interpunzione nelle intitolazioni di nomi collettivi, di enti, ditte etc.</w:t>
      </w:r>
    </w:p>
    <w:p w14:paraId="27FF0334" w14:textId="77777777" w:rsidR="00503C4C" w:rsidRPr="00403D8E" w:rsidRDefault="00503C4C" w:rsidP="00503C4C">
      <w:pPr>
        <w:rPr>
          <w:rFonts w:ascii="Titillium Web" w:hAnsi="Titillium Web"/>
          <w:sz w:val="22"/>
          <w:szCs w:val="22"/>
        </w:rPr>
      </w:pPr>
    </w:p>
    <w:p w14:paraId="7D2AA180"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NO</w:t>
      </w:r>
      <w:r w:rsidRPr="00403D8E">
        <w:rPr>
          <w:rFonts w:ascii="Titillium Web" w:hAnsi="Titillium Web"/>
          <w:sz w:val="22"/>
          <w:szCs w:val="22"/>
        </w:rPr>
        <w:t xml:space="preserve"> S.P.A., S.R.L, S.N.C.</w:t>
      </w:r>
    </w:p>
    <w:p w14:paraId="6782B3DE"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SI</w:t>
      </w:r>
      <w:r w:rsidRPr="00403D8E">
        <w:rPr>
          <w:rFonts w:ascii="Titillium Web" w:hAnsi="Titillium Web"/>
          <w:sz w:val="22"/>
          <w:szCs w:val="22"/>
        </w:rPr>
        <w:t xml:space="preserve"> SPA, SRL, SNC</w:t>
      </w:r>
    </w:p>
    <w:p w14:paraId="1C3B3BF8" w14:textId="77777777" w:rsidR="00503C4C" w:rsidRPr="00403D8E" w:rsidRDefault="00503C4C" w:rsidP="00503C4C">
      <w:pPr>
        <w:rPr>
          <w:rFonts w:ascii="Titillium Web" w:hAnsi="Titillium Web"/>
          <w:sz w:val="22"/>
          <w:szCs w:val="22"/>
        </w:rPr>
      </w:pPr>
    </w:p>
    <w:p w14:paraId="27785749"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L'eventuale nome di una ditta o di un ente scritto fra virgolette non andrà inserito con le virgolette: l’utilizzo delle virgolette non è consentito.</w:t>
      </w:r>
    </w:p>
    <w:p w14:paraId="4EB95C37" w14:textId="77777777" w:rsidR="00503C4C" w:rsidRPr="00403D8E" w:rsidRDefault="00503C4C" w:rsidP="00503C4C">
      <w:pPr>
        <w:rPr>
          <w:rFonts w:ascii="Titillium Web" w:hAnsi="Titillium Web"/>
          <w:sz w:val="22"/>
          <w:szCs w:val="22"/>
        </w:rPr>
      </w:pPr>
    </w:p>
    <w:p w14:paraId="38139BDF"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NO</w:t>
      </w:r>
      <w:r w:rsidRPr="00403D8E">
        <w:rPr>
          <w:rFonts w:ascii="Titillium Web" w:hAnsi="Titillium Web"/>
          <w:sz w:val="22"/>
          <w:szCs w:val="22"/>
        </w:rPr>
        <w:t xml:space="preserve"> Associazione "Amici della musica"</w:t>
      </w:r>
    </w:p>
    <w:p w14:paraId="634F9772"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SI</w:t>
      </w:r>
      <w:r w:rsidRPr="00403D8E">
        <w:rPr>
          <w:rFonts w:ascii="Titillium Web" w:hAnsi="Titillium Web"/>
          <w:sz w:val="22"/>
          <w:szCs w:val="22"/>
        </w:rPr>
        <w:t xml:space="preserve"> ASSOCIAZIONE AMICI DELLA MUSICA</w:t>
      </w:r>
    </w:p>
    <w:p w14:paraId="7F71DDA8" w14:textId="77777777" w:rsidR="00503C4C" w:rsidRPr="00403D8E" w:rsidRDefault="00503C4C" w:rsidP="00503C4C">
      <w:pPr>
        <w:rPr>
          <w:rFonts w:ascii="Titillium Web" w:hAnsi="Titillium Web"/>
          <w:sz w:val="22"/>
          <w:szCs w:val="22"/>
        </w:rPr>
      </w:pPr>
    </w:p>
    <w:p w14:paraId="4E516FCA"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Nell'utilizzo dei segni di interpunzione si rimanda alle regole di scrittura: non deve mai precedere al segno uno spazio; dopo il segno e prima della parola successiva uno spazio; prima e dopo il trattino uno spazio; il trattino quando è tra due parole che esprimono un termine composto non deve avere spazi; il segno di apertura parentesi segue la parola preceduto da uno spazio, all'interno della parentesi la prima parola è scritta subito dopo il segno di parentesi senza essere preceduta da uno spazio:</w:t>
      </w:r>
    </w:p>
    <w:p w14:paraId="253A78AB"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REGIONE SARDEGNA-DIREZIONE GENERALE</w:t>
      </w:r>
    </w:p>
    <w:p w14:paraId="4F33FB42"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REGIONE SARDEGNA - DIREZIONE GENERALE</w:t>
      </w:r>
    </w:p>
    <w:p w14:paraId="183AE33A"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GIURIDICO - AMMINISTRATIVO</w:t>
      </w:r>
    </w:p>
    <w:p w14:paraId="262BF027"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GIURIDICO-AMMINISTRATIVO</w:t>
      </w:r>
    </w:p>
    <w:p w14:paraId="7EA8D7F7"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 GIALLO, ROSSO )</w:t>
      </w:r>
    </w:p>
    <w:p w14:paraId="2E7209BB"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(GIALLO, ROSSO)</w:t>
      </w:r>
    </w:p>
    <w:p w14:paraId="67EC0D18" w14:textId="77777777" w:rsidR="00503C4C" w:rsidRPr="00403D8E" w:rsidRDefault="00503C4C" w:rsidP="00503C4C">
      <w:pPr>
        <w:rPr>
          <w:rFonts w:ascii="Titillium Web" w:hAnsi="Titillium Web"/>
          <w:sz w:val="22"/>
          <w:szCs w:val="22"/>
        </w:rPr>
      </w:pPr>
    </w:p>
    <w:p w14:paraId="65BF3A77"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La scelta di usare unicamente il maiuscolo al posto del maiuscolo/minuscolo è determinata dalla necessità di limitare a una soglia accettabile il margine di errore e di libera interpretazione dei molteplici operatori che inseriscono i dati nell'anagrafica unica.</w:t>
      </w:r>
    </w:p>
    <w:p w14:paraId="7432E4E2"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I COLORI SONO : GIALLO, ROSSO, ECC.; I COLORI SONO:GIALLO, ROSSO, ECC.;I COLORI SONO :GIALLO, ROSSO, ECC.</w:t>
      </w:r>
    </w:p>
    <w:p w14:paraId="5F83A364"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I COLORI SONO: GIALLO, ROSSO, ECC.</w:t>
      </w:r>
    </w:p>
    <w:p w14:paraId="582025BE"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LUNEDÌ , MARTEDÌ; LUNEDÌ,MARTEDÌ; LUNEDÌ ,MARTEDÌ</w:t>
      </w:r>
    </w:p>
    <w:p w14:paraId="6454D1DF"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LUNEDÌ, MARTEDÌ</w:t>
      </w:r>
    </w:p>
    <w:p w14:paraId="25044EC6" w14:textId="77777777" w:rsidR="00503C4C" w:rsidRPr="00403D8E" w:rsidRDefault="00503C4C" w:rsidP="00503C4C">
      <w:pPr>
        <w:rPr>
          <w:rFonts w:ascii="Titillium Web" w:hAnsi="Titillium Web"/>
          <w:sz w:val="22"/>
          <w:szCs w:val="22"/>
        </w:rPr>
      </w:pPr>
    </w:p>
    <w:p w14:paraId="314ED7F3" w14:textId="77777777" w:rsidR="00503C4C" w:rsidRPr="00403D8E" w:rsidRDefault="00503C4C" w:rsidP="00503C4C">
      <w:pPr>
        <w:rPr>
          <w:rFonts w:ascii="Titillium Web" w:hAnsi="Titillium Web"/>
          <w:sz w:val="22"/>
          <w:szCs w:val="22"/>
        </w:rPr>
      </w:pPr>
    </w:p>
    <w:p w14:paraId="38BF4CD6" w14:textId="77777777" w:rsidR="00503C4C" w:rsidRPr="00403D8E" w:rsidRDefault="00503C4C" w:rsidP="00503C4C">
      <w:pPr>
        <w:rPr>
          <w:rFonts w:ascii="Titillium Web" w:hAnsi="Titillium Web"/>
          <w:sz w:val="22"/>
          <w:szCs w:val="22"/>
        </w:rPr>
      </w:pPr>
      <w:r w:rsidRPr="00403D8E">
        <w:rPr>
          <w:rFonts w:ascii="Titillium Web" w:hAnsi="Titillium Web"/>
          <w:b/>
          <w:bCs/>
          <w:i/>
          <w:iCs/>
          <w:sz w:val="22"/>
          <w:szCs w:val="22"/>
        </w:rPr>
        <w:t>Allegati</w:t>
      </w:r>
    </w:p>
    <w:p w14:paraId="1DF37321" w14:textId="77777777" w:rsidR="00503C4C" w:rsidRPr="00403D8E" w:rsidRDefault="00503C4C" w:rsidP="00503C4C">
      <w:pPr>
        <w:rPr>
          <w:rFonts w:ascii="Titillium Web" w:hAnsi="Titillium Web"/>
          <w:sz w:val="22"/>
          <w:szCs w:val="22"/>
        </w:rPr>
      </w:pPr>
    </w:p>
    <w:p w14:paraId="1F94741C"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 xml:space="preserve">Il numero e la descrizione degli allegati sono elementi essenziali per l’efficacia di una registrazione, spesso il documento di trasmissione funge da vettore. </w:t>
      </w:r>
    </w:p>
    <w:p w14:paraId="1D3715B7" w14:textId="77777777" w:rsidR="00503C4C" w:rsidRPr="00403D8E" w:rsidRDefault="00503C4C" w:rsidP="00503C4C">
      <w:pPr>
        <w:rPr>
          <w:rFonts w:ascii="Titillium Web" w:hAnsi="Titillium Web"/>
          <w:sz w:val="22"/>
          <w:szCs w:val="22"/>
        </w:rPr>
      </w:pPr>
    </w:p>
    <w:p w14:paraId="6548C227" w14:textId="77777777" w:rsidR="00503C4C" w:rsidRPr="00403D8E" w:rsidRDefault="00503C4C" w:rsidP="00503C4C">
      <w:pPr>
        <w:rPr>
          <w:rFonts w:ascii="Titillium Web" w:hAnsi="Titillium Web"/>
          <w:sz w:val="22"/>
          <w:szCs w:val="22"/>
        </w:rPr>
      </w:pPr>
      <w:r w:rsidRPr="00403D8E">
        <w:rPr>
          <w:rFonts w:ascii="Titillium Web" w:hAnsi="Titillium Web"/>
          <w:b/>
          <w:bCs/>
          <w:i/>
          <w:iCs/>
          <w:sz w:val="22"/>
          <w:szCs w:val="22"/>
        </w:rPr>
        <w:t>Nomi di persona</w:t>
      </w:r>
    </w:p>
    <w:p w14:paraId="334D469C"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L'inserimento dei nomi di persona va fatto scrivendo prima il cognome e poi il nome; sono esclusi tutti i titoli di cortesia (eccellenza, reverendo, ecc.), di onorificenza, predicati nobiliari (N.H., N.D. ecc.), i titoli accademici (dott., ing. ecc.), quelli professionali (rag., geom. ecc.) e tutto ciò che non corrisponda al nome:</w:t>
      </w:r>
    </w:p>
    <w:p w14:paraId="369A8C7D"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DOTT. AVV. ROSSI MARIO</w:t>
      </w:r>
    </w:p>
    <w:p w14:paraId="620C6BA1"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ROSSI AVV. MARIO</w:t>
      </w:r>
    </w:p>
    <w:p w14:paraId="1189DFA0"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ROSSI MARIO</w:t>
      </w:r>
    </w:p>
    <w:p w14:paraId="7154B252" w14:textId="77777777" w:rsidR="00503C4C" w:rsidRPr="00403D8E" w:rsidRDefault="00503C4C" w:rsidP="00503C4C">
      <w:pPr>
        <w:rPr>
          <w:rFonts w:ascii="Titillium Web" w:hAnsi="Titillium Web"/>
          <w:sz w:val="22"/>
          <w:szCs w:val="22"/>
        </w:rPr>
      </w:pPr>
    </w:p>
    <w:p w14:paraId="5949F2A4" w14:textId="77777777" w:rsidR="00503C4C" w:rsidRPr="00403D8E" w:rsidRDefault="00503C4C" w:rsidP="00503C4C">
      <w:pPr>
        <w:rPr>
          <w:rFonts w:ascii="Titillium Web" w:hAnsi="Titillium Web"/>
          <w:sz w:val="22"/>
          <w:szCs w:val="22"/>
        </w:rPr>
      </w:pPr>
      <w:r w:rsidRPr="00403D8E">
        <w:rPr>
          <w:rFonts w:ascii="Titillium Web" w:hAnsi="Titillium Web"/>
          <w:b/>
          <w:bCs/>
          <w:i/>
          <w:iCs/>
          <w:sz w:val="22"/>
          <w:szCs w:val="22"/>
        </w:rPr>
        <w:t>Nomi di persona giuridica, ditte individuali, enti pubblici, società</w:t>
      </w:r>
    </w:p>
    <w:p w14:paraId="04EE6B5A"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La denominazione delle persone giuridiche ecc. devono essere inserite come appaiono nella carta intestata facendo attenzione fra il logo e l'intestazione che spesso non corrispondono, scegliendo fra le due l'intestazione:</w:t>
      </w:r>
    </w:p>
    <w:p w14:paraId="49991324"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AVV. ROSSI MARIO - STUDIO LEGALE ASSOCIATO</w:t>
      </w:r>
    </w:p>
    <w:p w14:paraId="108035CE"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si</w:t>
      </w:r>
      <w:r w:rsidRPr="00403D8E">
        <w:rPr>
          <w:rFonts w:ascii="Titillium Web" w:hAnsi="Titillium Web"/>
          <w:sz w:val="22"/>
          <w:szCs w:val="22"/>
        </w:rPr>
        <w:t xml:space="preserve"> ROSSI MARIO AVVOCATO – STUDIO LEGALE ASSOCIATO</w:t>
      </w:r>
    </w:p>
    <w:p w14:paraId="219CDEA1"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STUDIO LEGALE ROSSI MARIO</w:t>
      </w:r>
    </w:p>
    <w:p w14:paraId="1A158235"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 xml:space="preserve">In mancanza dell'intestazione completa si preferisca il logo, oppure ricorrendo al responsabile del procedimento si rintracci la definizione originale da immettere nella banca dati. La tipologia della società (spa, srl ecc.) va scritta non puntata (vedi </w:t>
      </w:r>
      <w:r w:rsidRPr="00403D8E">
        <w:rPr>
          <w:rFonts w:ascii="Titillium Web" w:hAnsi="Titillium Web"/>
          <w:b/>
          <w:bCs/>
          <w:i/>
          <w:iCs/>
          <w:sz w:val="22"/>
          <w:szCs w:val="22"/>
        </w:rPr>
        <w:t>Segni di interpunzione</w:t>
      </w:r>
      <w:r w:rsidRPr="00403D8E">
        <w:rPr>
          <w:rFonts w:ascii="Titillium Web" w:hAnsi="Titillium Web"/>
          <w:sz w:val="22"/>
          <w:szCs w:val="22"/>
        </w:rPr>
        <w:t xml:space="preserve">). I nomi di enti o persone giuridiche nonché quelli di enti collettivi vanno scritti completi e per esteso, senza abbreviazioni; qualora l'ente o la persona giuridica siano meglio conosciuti con l'acronimo, questo va inserito dopo il nome completo in maiuscolo non puntato dopo un trattino preceduto e seguito da uno spazio (vedi </w:t>
      </w:r>
      <w:r w:rsidRPr="00403D8E">
        <w:rPr>
          <w:rFonts w:ascii="Titillium Web" w:hAnsi="Titillium Web"/>
          <w:b/>
          <w:bCs/>
          <w:i/>
          <w:iCs/>
          <w:sz w:val="22"/>
          <w:szCs w:val="22"/>
        </w:rPr>
        <w:t>Abbreviazioni</w:t>
      </w:r>
      <w:r w:rsidRPr="00403D8E">
        <w:rPr>
          <w:rFonts w:ascii="Titillium Web" w:hAnsi="Titillium Web"/>
          <w:sz w:val="22"/>
          <w:szCs w:val="22"/>
        </w:rPr>
        <w:t>).</w:t>
      </w:r>
    </w:p>
    <w:p w14:paraId="4630FC2D" w14:textId="77777777" w:rsidR="00503C4C" w:rsidRPr="00403D8E" w:rsidRDefault="00503C4C" w:rsidP="00503C4C">
      <w:pPr>
        <w:rPr>
          <w:rFonts w:ascii="Titillium Web" w:hAnsi="Titillium Web"/>
          <w:sz w:val="22"/>
          <w:szCs w:val="22"/>
        </w:rPr>
      </w:pPr>
    </w:p>
    <w:p w14:paraId="60472AC7"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Molti enti hanno più sedi e sezioni o strutture, per l'inserimento dei dati valgono le stesse regole con l'aggiunta della denominazione della sede distaccata o sezione dopo il trattino preceduto e seguito da uno spazio:</w:t>
      </w:r>
    </w:p>
    <w:p w14:paraId="25410BBB"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DIREZIONE GENERALE CULTURA REGIONE LOMBARDIA</w:t>
      </w:r>
    </w:p>
    <w:p w14:paraId="4B6BCCF0"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REGIONE LOMBARDIA - DIREZIONE GENERALE CULTURA</w:t>
      </w:r>
    </w:p>
    <w:p w14:paraId="01A20263" w14:textId="77777777" w:rsidR="00503C4C" w:rsidRPr="00403D8E" w:rsidRDefault="00503C4C" w:rsidP="00503C4C">
      <w:pPr>
        <w:rPr>
          <w:rFonts w:ascii="Titillium Web" w:hAnsi="Titillium Web"/>
          <w:sz w:val="22"/>
          <w:szCs w:val="22"/>
        </w:rPr>
      </w:pPr>
    </w:p>
    <w:p w14:paraId="3F42325B" w14:textId="77777777" w:rsidR="00503C4C" w:rsidRPr="00403D8E" w:rsidRDefault="00503C4C" w:rsidP="00503C4C">
      <w:pPr>
        <w:rPr>
          <w:rFonts w:ascii="Titillium Web" w:hAnsi="Titillium Web"/>
          <w:sz w:val="22"/>
          <w:szCs w:val="22"/>
        </w:rPr>
      </w:pPr>
      <w:r w:rsidRPr="00403D8E">
        <w:rPr>
          <w:rFonts w:ascii="Titillium Web" w:hAnsi="Titillium Web"/>
          <w:b/>
          <w:bCs/>
          <w:i/>
          <w:iCs/>
          <w:sz w:val="22"/>
          <w:szCs w:val="22"/>
        </w:rPr>
        <w:t>Intestazione, ufficio, firmatario</w:t>
      </w:r>
    </w:p>
    <w:p w14:paraId="6992B535"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 xml:space="preserve">Nell'inserimento dell'intestazione di una lettera deve essere distinto il firmatario dall'ente o persona giuridica, dalla ditta individuale o società. Il firmatario o la provenienza/destinazione particolare, </w:t>
      </w:r>
      <w:r w:rsidRPr="00403D8E">
        <w:rPr>
          <w:rFonts w:ascii="Titillium Web" w:hAnsi="Titillium Web"/>
          <w:sz w:val="22"/>
          <w:szCs w:val="22"/>
          <w:u w:val="single"/>
        </w:rPr>
        <w:t>se necessari</w:t>
      </w:r>
      <w:r w:rsidRPr="00403D8E">
        <w:rPr>
          <w:rFonts w:ascii="Titillium Web" w:hAnsi="Titillium Web"/>
          <w:sz w:val="22"/>
          <w:szCs w:val="22"/>
        </w:rPr>
        <w:t>, vanno inseriti nell'apposita stringa dell'anagrafica:</w:t>
      </w:r>
    </w:p>
    <w:p w14:paraId="3C3EA9FD"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SINDACO DEL COMUNE DI SASSARI</w:t>
      </w:r>
    </w:p>
    <w:p w14:paraId="4B0C32CA"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COMUNE DI SASSARI (nell'apposita stringa dell'anagrafica verrà inserito: IL SINDACO)</w:t>
      </w:r>
    </w:p>
    <w:p w14:paraId="2E054E18"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IL MINISTRO DEL LAVORO E PREVIDENZA SOCIALE</w:t>
      </w:r>
    </w:p>
    <w:p w14:paraId="1C91B8FA"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MINISTERO DEL LAVORO E DELLA PREVIDENZA SOCIALE (nell'apposita stringa dell'anagrafica verrà inserito: IL MINISTRO)</w:t>
      </w:r>
    </w:p>
    <w:p w14:paraId="1D720286"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no </w:t>
      </w:r>
      <w:r w:rsidRPr="00403D8E">
        <w:rPr>
          <w:rFonts w:ascii="Titillium Web" w:hAnsi="Titillium Web"/>
          <w:sz w:val="22"/>
          <w:szCs w:val="22"/>
        </w:rPr>
        <w:t>IL PRESIDENTE DELLA PROVINCIA DI MILANO</w:t>
      </w:r>
    </w:p>
    <w:p w14:paraId="39D78EE5" w14:textId="77777777" w:rsidR="00503C4C" w:rsidRPr="00403D8E" w:rsidRDefault="00503C4C" w:rsidP="00503C4C">
      <w:pPr>
        <w:rPr>
          <w:rFonts w:ascii="Titillium Web" w:hAnsi="Titillium Web"/>
          <w:sz w:val="22"/>
          <w:szCs w:val="22"/>
        </w:rPr>
      </w:pPr>
      <w:r w:rsidRPr="00403D8E">
        <w:rPr>
          <w:rFonts w:ascii="Titillium Web" w:hAnsi="Titillium Web"/>
          <w:b/>
          <w:bCs/>
          <w:sz w:val="22"/>
          <w:szCs w:val="22"/>
        </w:rPr>
        <w:t xml:space="preserve">SI </w:t>
      </w:r>
      <w:r w:rsidRPr="00403D8E">
        <w:rPr>
          <w:rFonts w:ascii="Titillium Web" w:hAnsi="Titillium Web"/>
          <w:sz w:val="22"/>
          <w:szCs w:val="22"/>
        </w:rPr>
        <w:t>PROVINCIA DI MILANO (nell'apposita stringa dell'anagrafica verrà inserito: IL PRESIDENTE)</w:t>
      </w:r>
    </w:p>
    <w:p w14:paraId="1D91B438" w14:textId="77777777" w:rsidR="00503C4C" w:rsidRPr="00403D8E" w:rsidRDefault="00503C4C" w:rsidP="00503C4C">
      <w:pPr>
        <w:rPr>
          <w:rFonts w:ascii="Titillium Web" w:hAnsi="Titillium Web"/>
          <w:sz w:val="22"/>
          <w:szCs w:val="22"/>
        </w:rPr>
      </w:pPr>
    </w:p>
    <w:p w14:paraId="79BB97B1" w14:textId="77777777" w:rsidR="00503C4C" w:rsidRPr="00403D8E" w:rsidRDefault="00503C4C" w:rsidP="00503C4C">
      <w:pPr>
        <w:rPr>
          <w:rFonts w:ascii="Titillium Web" w:hAnsi="Titillium Web"/>
          <w:sz w:val="22"/>
          <w:szCs w:val="22"/>
        </w:rPr>
      </w:pPr>
      <w:r w:rsidRPr="00403D8E">
        <w:rPr>
          <w:rFonts w:ascii="Titillium Web" w:hAnsi="Titillium Web"/>
          <w:b/>
          <w:bCs/>
          <w:i/>
          <w:iCs/>
          <w:sz w:val="22"/>
          <w:szCs w:val="22"/>
        </w:rPr>
        <w:t>Nomi stranieri</w:t>
      </w:r>
    </w:p>
    <w:p w14:paraId="2CB748DA"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I nomi di persona, di città, o di qualsiasi ente straniero vanno inseriti nella versione originale, solo lo stato va scritto in lingua italiana</w:t>
      </w:r>
    </w:p>
    <w:p w14:paraId="0E72AE3D" w14:textId="77777777" w:rsidR="00503C4C" w:rsidRPr="00403D8E" w:rsidRDefault="00503C4C" w:rsidP="00503C4C">
      <w:pPr>
        <w:rPr>
          <w:rFonts w:ascii="Titillium Web" w:hAnsi="Titillium Web"/>
          <w:sz w:val="22"/>
          <w:szCs w:val="22"/>
        </w:rPr>
      </w:pPr>
    </w:p>
    <w:p w14:paraId="609301DF" w14:textId="77777777" w:rsidR="00503C4C" w:rsidRPr="00403D8E" w:rsidRDefault="00503C4C" w:rsidP="00503C4C">
      <w:pPr>
        <w:rPr>
          <w:rFonts w:ascii="Titillium Web" w:hAnsi="Titillium Web"/>
          <w:sz w:val="22"/>
          <w:szCs w:val="22"/>
        </w:rPr>
      </w:pPr>
      <w:r w:rsidRPr="00403D8E">
        <w:rPr>
          <w:rFonts w:ascii="Titillium Web" w:hAnsi="Titillium Web"/>
          <w:b/>
          <w:bCs/>
          <w:i/>
          <w:iCs/>
          <w:sz w:val="22"/>
          <w:szCs w:val="22"/>
        </w:rPr>
        <w:t>Indirizzo</w:t>
      </w:r>
    </w:p>
    <w:p w14:paraId="02BBAC32"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Per quanto riguarda gli indirizzi di residenza, devono essere inseriti quelli dichiarati nella carta intestata; per quelli degli enti pubblici andrà sempre inserito l’indirizzo giuridico dichiarato; per gli uffici decentrati quello della sede dell’ufficio; non devono essere inserite posizioni in anagrafica incomplete di parte dell’indirizzo: luogo, provincia, via, numero civico, codice avviamento postale.</w:t>
      </w:r>
    </w:p>
    <w:p w14:paraId="74C9A804" w14:textId="77777777" w:rsidR="00503C4C" w:rsidRPr="00403D8E" w:rsidRDefault="00503C4C" w:rsidP="00503C4C">
      <w:pPr>
        <w:rPr>
          <w:rFonts w:ascii="Titillium Web" w:hAnsi="Titillium Web"/>
          <w:sz w:val="22"/>
          <w:szCs w:val="22"/>
        </w:rPr>
      </w:pPr>
    </w:p>
    <w:p w14:paraId="773FA7F3" w14:textId="77777777" w:rsidR="00503C4C" w:rsidRPr="00403D8E" w:rsidRDefault="00503C4C" w:rsidP="00503C4C">
      <w:pPr>
        <w:rPr>
          <w:rFonts w:ascii="Titillium Web" w:hAnsi="Titillium Web"/>
          <w:sz w:val="22"/>
          <w:szCs w:val="22"/>
        </w:rPr>
      </w:pPr>
      <w:r w:rsidRPr="00403D8E">
        <w:rPr>
          <w:rFonts w:ascii="Titillium Web" w:hAnsi="Titillium Web"/>
          <w:b/>
          <w:bCs/>
          <w:i/>
          <w:iCs/>
          <w:sz w:val="22"/>
          <w:szCs w:val="22"/>
        </w:rPr>
        <w:t>Casi particolari</w:t>
      </w:r>
    </w:p>
    <w:p w14:paraId="601B07D7"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Tutti i casi particolari vengano discussi con il Responsabile della gestione documentale/Responsabile Servizio Archivio e Protocollo prima dell'inserimento nella banca dati.</w:t>
      </w:r>
    </w:p>
    <w:p w14:paraId="0808B8F9" w14:textId="77777777" w:rsidR="00503C4C" w:rsidRPr="00403D8E" w:rsidRDefault="00503C4C" w:rsidP="00503C4C">
      <w:pPr>
        <w:rPr>
          <w:rFonts w:ascii="Titillium Web" w:hAnsi="Titillium Web"/>
          <w:sz w:val="22"/>
          <w:szCs w:val="22"/>
        </w:rPr>
      </w:pPr>
    </w:p>
    <w:p w14:paraId="51ACD138" w14:textId="77777777" w:rsidR="00503C4C" w:rsidRPr="00403D8E" w:rsidRDefault="00503C4C" w:rsidP="00503C4C">
      <w:pPr>
        <w:rPr>
          <w:rFonts w:ascii="Titillium Web" w:hAnsi="Titillium Web"/>
          <w:sz w:val="22"/>
          <w:szCs w:val="22"/>
        </w:rPr>
      </w:pPr>
    </w:p>
    <w:p w14:paraId="6DE323FD"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Prima di creare una nuova anagrafica, verificare che non esista già ed inserire, se disponibile, anche l’indirizzo fisico di residenza e di PEC nonché il domicilio digitale.</w:t>
      </w:r>
    </w:p>
    <w:p w14:paraId="3DE88829" w14:textId="77777777" w:rsidR="00503C4C" w:rsidRPr="00403D8E" w:rsidRDefault="00503C4C" w:rsidP="00503C4C">
      <w:pPr>
        <w:rPr>
          <w:rFonts w:ascii="Titillium Web" w:hAnsi="Titillium Web"/>
          <w:sz w:val="22"/>
          <w:szCs w:val="22"/>
        </w:rPr>
      </w:pPr>
      <w:r w:rsidRPr="00403D8E">
        <w:rPr>
          <w:rFonts w:ascii="Titillium Web" w:hAnsi="Titillium Web"/>
          <w:sz w:val="22"/>
          <w:szCs w:val="22"/>
        </w:rPr>
        <w:t>Quando si crea una nuova anagrafica inserire, se disponibile, la Partita IVA o il Codice Fiscale.</w:t>
      </w:r>
    </w:p>
    <w:p w14:paraId="1CBC726D" w14:textId="77777777" w:rsidR="00503C4C" w:rsidRPr="00403D8E" w:rsidRDefault="00503C4C" w:rsidP="00503C4C">
      <w:pPr>
        <w:rPr>
          <w:rFonts w:ascii="Titillium Web" w:hAnsi="Titillium Web"/>
          <w:sz w:val="22"/>
          <w:szCs w:val="22"/>
        </w:rPr>
      </w:pPr>
    </w:p>
    <w:p w14:paraId="047E77CC" w14:textId="77777777" w:rsidR="00503C4C" w:rsidRPr="00403D8E" w:rsidRDefault="00503C4C" w:rsidP="00503C4C">
      <w:pPr>
        <w:rPr>
          <w:rFonts w:ascii="Titillium Web" w:hAnsi="Titillium Web"/>
          <w:sz w:val="22"/>
          <w:szCs w:val="22"/>
        </w:rPr>
      </w:pPr>
    </w:p>
    <w:p w14:paraId="02C6896E" w14:textId="77777777" w:rsidR="00503C4C" w:rsidRPr="00403D8E" w:rsidRDefault="00503C4C" w:rsidP="00503C4C">
      <w:pPr>
        <w:rPr>
          <w:rFonts w:ascii="Titillium Web" w:hAnsi="Titillium Web"/>
          <w:sz w:val="22"/>
          <w:szCs w:val="22"/>
        </w:rPr>
      </w:pPr>
    </w:p>
    <w:p w14:paraId="1592FCE8" w14:textId="77777777" w:rsidR="00503C4C" w:rsidRPr="00403D8E" w:rsidRDefault="00503C4C" w:rsidP="00503C4C">
      <w:pPr>
        <w:rPr>
          <w:rFonts w:ascii="Titillium Web" w:hAnsi="Titillium Web"/>
          <w:sz w:val="22"/>
          <w:szCs w:val="22"/>
        </w:rPr>
      </w:pPr>
    </w:p>
    <w:p w14:paraId="0B68D86B" w14:textId="77777777" w:rsidR="00503C4C" w:rsidRPr="00403D8E" w:rsidRDefault="00503C4C">
      <w:pPr>
        <w:rPr>
          <w:rFonts w:ascii="Titillium Web" w:hAnsi="Titillium Web"/>
          <w:sz w:val="22"/>
          <w:szCs w:val="22"/>
        </w:rPr>
      </w:pPr>
    </w:p>
    <w:sectPr w:rsidR="00503C4C" w:rsidRPr="00403D8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tillium Web">
    <w:charset w:val="00"/>
    <w:family w:val="auto"/>
    <w:pitch w:val="variable"/>
    <w:sig w:usb0="00000007" w:usb1="00000001"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C4C"/>
    <w:rsid w:val="00403D8E"/>
    <w:rsid w:val="00503C4C"/>
    <w:rsid w:val="00563805"/>
    <w:rsid w:val="00E63D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67302"/>
  <w15:chartTrackingRefBased/>
  <w15:docId w15:val="{DFB7E1CD-C67B-4545-88F4-C80A1A26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03C4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503C4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503C4C"/>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503C4C"/>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503C4C"/>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503C4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03C4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03C4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03C4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03C4C"/>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503C4C"/>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503C4C"/>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503C4C"/>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503C4C"/>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503C4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03C4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03C4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03C4C"/>
    <w:rPr>
      <w:rFonts w:eastAsiaTheme="majorEastAsia" w:cstheme="majorBidi"/>
      <w:color w:val="272727" w:themeColor="text1" w:themeTint="D8"/>
    </w:rPr>
  </w:style>
  <w:style w:type="paragraph" w:styleId="Titolo">
    <w:name w:val="Title"/>
    <w:basedOn w:val="Normale"/>
    <w:next w:val="Normale"/>
    <w:link w:val="TitoloCarattere"/>
    <w:uiPriority w:val="10"/>
    <w:qFormat/>
    <w:rsid w:val="00503C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03C4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03C4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03C4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03C4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03C4C"/>
    <w:rPr>
      <w:i/>
      <w:iCs/>
      <w:color w:val="404040" w:themeColor="text1" w:themeTint="BF"/>
    </w:rPr>
  </w:style>
  <w:style w:type="paragraph" w:styleId="Paragrafoelenco">
    <w:name w:val="List Paragraph"/>
    <w:basedOn w:val="Normale"/>
    <w:uiPriority w:val="34"/>
    <w:qFormat/>
    <w:rsid w:val="00503C4C"/>
    <w:pPr>
      <w:ind w:left="720"/>
      <w:contextualSpacing/>
    </w:pPr>
  </w:style>
  <w:style w:type="character" w:styleId="Enfasiintensa">
    <w:name w:val="Intense Emphasis"/>
    <w:basedOn w:val="Carpredefinitoparagrafo"/>
    <w:uiPriority w:val="21"/>
    <w:qFormat/>
    <w:rsid w:val="00503C4C"/>
    <w:rPr>
      <w:i/>
      <w:iCs/>
      <w:color w:val="2F5496" w:themeColor="accent1" w:themeShade="BF"/>
    </w:rPr>
  </w:style>
  <w:style w:type="paragraph" w:styleId="Citazioneintensa">
    <w:name w:val="Intense Quote"/>
    <w:basedOn w:val="Normale"/>
    <w:next w:val="Normale"/>
    <w:link w:val="CitazioneintensaCarattere"/>
    <w:uiPriority w:val="30"/>
    <w:qFormat/>
    <w:rsid w:val="00503C4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503C4C"/>
    <w:rPr>
      <w:i/>
      <w:iCs/>
      <w:color w:val="2F5496" w:themeColor="accent1" w:themeShade="BF"/>
    </w:rPr>
  </w:style>
  <w:style w:type="character" w:styleId="Riferimentointenso">
    <w:name w:val="Intense Reference"/>
    <w:basedOn w:val="Carpredefinitoparagrafo"/>
    <w:uiPriority w:val="32"/>
    <w:qFormat/>
    <w:rsid w:val="00503C4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320421">
      <w:bodyDiv w:val="1"/>
      <w:marLeft w:val="0"/>
      <w:marRight w:val="0"/>
      <w:marTop w:val="0"/>
      <w:marBottom w:val="0"/>
      <w:divBdr>
        <w:top w:val="none" w:sz="0" w:space="0" w:color="auto"/>
        <w:left w:val="none" w:sz="0" w:space="0" w:color="auto"/>
        <w:bottom w:val="none" w:sz="0" w:space="0" w:color="auto"/>
        <w:right w:val="none" w:sz="0" w:space="0" w:color="auto"/>
      </w:divBdr>
    </w:div>
    <w:div w:id="206733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file:///C:\Users\utm\AppData\Local\Temp\lu15280rehqn.tmp\lu15280rehr5_tmp_958551371721545b.png" TargetMode="Externa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2308</Words>
  <Characters>13161</Characters>
  <Application>Microsoft Office Word</Application>
  <DocSecurity>0</DocSecurity>
  <Lines>109</Lines>
  <Paragraphs>30</Paragraphs>
  <ScaleCrop>false</ScaleCrop>
  <Company/>
  <LinksUpToDate>false</LinksUpToDate>
  <CharactersWithSpaces>15439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Lucchetta</dc:creator>
  <cp:keywords/>
  <dc:description/>
  <cp:lastModifiedBy>Paola Lucchetta</cp:lastModifiedBy>
  <cp:revision>3</cp:revision>
  <dcterms:created xsi:type="dcterms:W3CDTF">2025-06-13T07:40:00Z</dcterms:created>
  <dcterms:modified xsi:type="dcterms:W3CDTF">2025-06-13T10:13:00Z</dcterms:modified>
</cp:coreProperties>
</file>